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A3473" w14:textId="3E5F322D" w:rsidR="006C03EF" w:rsidRDefault="006C03EF" w:rsidP="006C03EF">
      <w:pPr>
        <w:pStyle w:val="Header"/>
        <w:keepLines/>
        <w:tabs>
          <w:tab w:val="clear" w:pos="4153"/>
          <w:tab w:val="clear" w:pos="8306"/>
          <w:tab w:val="left" w:pos="5956"/>
          <w:tab w:val="right" w:pos="10440"/>
          <w:tab w:val="right" w:pos="13323"/>
        </w:tabs>
        <w:spacing w:before="60" w:after="60"/>
        <w:rPr>
          <w:rFonts w:ascii="Arial" w:eastAsia="SimSun" w:hAnsi="Arial" w:cs="Arial"/>
          <w:b/>
          <w:sz w:val="24"/>
          <w:szCs w:val="24"/>
          <w:lang w:val="en-US"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108</w:t>
      </w:r>
      <w:r>
        <w:rPr>
          <w:rFonts w:ascii="Arial" w:hAnsi="Arial" w:cs="Arial"/>
          <w:b/>
          <w:sz w:val="24"/>
          <w:szCs w:val="24"/>
        </w:rPr>
        <w:tab/>
      </w:r>
      <w:r>
        <w:rPr>
          <w:rFonts w:ascii="Arial" w:hAnsi="Arial" w:cs="Arial"/>
          <w:b/>
          <w:sz w:val="24"/>
          <w:szCs w:val="24"/>
        </w:rPr>
        <w:tab/>
      </w:r>
      <w:r w:rsidR="00483DF2" w:rsidRPr="00483DF2">
        <w:rPr>
          <w:rFonts w:ascii="Arial" w:hAnsi="Arial" w:cs="Arial"/>
          <w:b/>
          <w:sz w:val="24"/>
          <w:szCs w:val="24"/>
        </w:rPr>
        <w:t>R4-2313200</w:t>
      </w:r>
    </w:p>
    <w:p w14:paraId="24EAF7E5" w14:textId="77777777" w:rsidR="006C03EF" w:rsidRDefault="006C03EF" w:rsidP="006C03EF">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 France, August 21 – August 25, 2023</w:t>
      </w:r>
    </w:p>
    <w:p w14:paraId="613C4702" w14:textId="77777777" w:rsidR="00DD0FC1" w:rsidRPr="00140D0B" w:rsidRDefault="00DD0FC1" w:rsidP="008A35FC">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607D074B" w14:textId="0C6EC3CD"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43B75873"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555100" w:rsidRPr="00555100">
        <w:rPr>
          <w:rFonts w:ascii="Arial" w:hAnsi="Arial" w:cs="Arial"/>
        </w:rPr>
        <w:t xml:space="preserve">Discussion on </w:t>
      </w:r>
      <w:r w:rsidR="00371810" w:rsidRPr="00555100">
        <w:rPr>
          <w:rFonts w:ascii="Arial" w:hAnsi="Arial" w:cs="Arial"/>
        </w:rPr>
        <w:t>UE-based TA measurement</w:t>
      </w:r>
    </w:p>
    <w:p w14:paraId="52393903" w14:textId="04D7BA9D"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84EAF">
        <w:rPr>
          <w:rFonts w:ascii="Arial" w:hAnsi="Arial" w:cs="Arial"/>
          <w:lang w:val="en-US"/>
        </w:rPr>
        <w:t>8.24.1</w:t>
      </w:r>
    </w:p>
    <w:p w14:paraId="784D163B" w14:textId="31457663"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9F594B" w:rsidRPr="009F594B">
        <w:rPr>
          <w:rFonts w:ascii="Arial" w:hAnsi="Arial" w:cs="Arial"/>
          <w:bCs/>
          <w:lang w:val="en-US"/>
        </w:rPr>
        <w:t>Approval</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22CBABD" w14:textId="470A9F58" w:rsidR="00A03AC4" w:rsidRPr="006615C6" w:rsidRDefault="006615C6" w:rsidP="00A03AC4">
      <w:pPr>
        <w:pStyle w:val="BodyText"/>
        <w:jc w:val="both"/>
        <w:rPr>
          <w:lang w:val="en-US"/>
        </w:rPr>
      </w:pPr>
      <w:r w:rsidRPr="006615C6">
        <w:rPr>
          <w:lang w:val="en-US"/>
        </w:rPr>
        <w:t>I</w:t>
      </w:r>
      <w:r w:rsidR="00A03AC4" w:rsidRPr="006615C6">
        <w:rPr>
          <w:lang w:val="en-US"/>
        </w:rPr>
        <w:t xml:space="preserve">n RAN1#113, RAN1 has made the following </w:t>
      </w:r>
      <w:r w:rsidR="00D32A56" w:rsidRPr="006615C6">
        <w:rPr>
          <w:lang w:val="en-US"/>
        </w:rPr>
        <w:t>agreement</w:t>
      </w:r>
      <w:r w:rsidR="00A03AC4" w:rsidRPr="006615C6">
        <w:rPr>
          <w:lang w:val="en-US"/>
        </w:rPr>
        <w:t xml:space="preserve"> regarding the </w:t>
      </w:r>
      <w:r w:rsidR="00124D10" w:rsidRPr="006615C6">
        <w:rPr>
          <w:lang w:val="en-US"/>
        </w:rPr>
        <w:t>UE</w:t>
      </w:r>
      <w:r w:rsidR="00F26758" w:rsidRPr="006615C6">
        <w:rPr>
          <w:lang w:val="en-US"/>
        </w:rPr>
        <w:t>-</w:t>
      </w:r>
      <w:r w:rsidR="00124D10" w:rsidRPr="006615C6">
        <w:rPr>
          <w:lang w:val="en-US"/>
        </w:rPr>
        <w:t>based TA measurement</w:t>
      </w:r>
      <w:r w:rsidR="002E6673" w:rsidRPr="006615C6">
        <w:rPr>
          <w:lang w:val="en-US"/>
        </w:rPr>
        <w:t xml:space="preserve"> [1]</w:t>
      </w:r>
      <w:r w:rsidR="00124D10" w:rsidRPr="006615C6">
        <w:rPr>
          <w:lang w:val="en-US"/>
        </w:rPr>
        <w:t>:</w:t>
      </w:r>
    </w:p>
    <w:p w14:paraId="7E28616C" w14:textId="77777777" w:rsidR="00A6588C" w:rsidRPr="0009030E" w:rsidRDefault="00A6588C" w:rsidP="00A6588C">
      <w:pPr>
        <w:rPr>
          <w:bCs/>
          <w:lang w:eastAsia="en-GB"/>
        </w:rPr>
      </w:pPr>
      <w:r w:rsidRPr="0009030E">
        <w:rPr>
          <w:bCs/>
          <w:lang w:eastAsia="en-GB"/>
        </w:rPr>
        <w:t xml:space="preserve">RAN1 </w:t>
      </w:r>
      <w:r w:rsidRPr="0009030E">
        <w:rPr>
          <w:bCs/>
          <w:highlight w:val="green"/>
          <w:lang w:eastAsia="en-GB"/>
        </w:rPr>
        <w:t>has confirmed</w:t>
      </w:r>
      <w:r w:rsidRPr="0009030E">
        <w:rPr>
          <w:bCs/>
          <w:lang w:eastAsia="en-GB"/>
        </w:rPr>
        <w:t xml:space="preserve"> the following working assumption, which was made in RAN1#112:</w:t>
      </w:r>
    </w:p>
    <w:p w14:paraId="073C2844" w14:textId="77777777" w:rsidR="00A6588C" w:rsidRPr="0009030E" w:rsidRDefault="00A6588C" w:rsidP="00A6588C">
      <w:pPr>
        <w:rPr>
          <w:b/>
          <w:bCs/>
          <w:highlight w:val="darkYellow"/>
          <w:lang w:eastAsia="en-GB"/>
        </w:rPr>
      </w:pPr>
      <w:r w:rsidRPr="0009030E">
        <w:rPr>
          <w:b/>
          <w:bCs/>
          <w:highlight w:val="darkYellow"/>
          <w:lang w:eastAsia="en-GB"/>
        </w:rPr>
        <w:t>Working Assumption</w:t>
      </w:r>
    </w:p>
    <w:p w14:paraId="29E176F8" w14:textId="77777777" w:rsidR="00A6588C" w:rsidRPr="0009030E" w:rsidRDefault="00A6588C" w:rsidP="00A6588C">
      <w:pPr>
        <w:rPr>
          <w:bCs/>
          <w:lang w:eastAsia="en-GB"/>
        </w:rPr>
      </w:pPr>
      <w:r w:rsidRPr="0009030E">
        <w:rPr>
          <w:rFonts w:eastAsia="DengXian"/>
          <w:lang w:eastAsia="zh-CN"/>
        </w:rPr>
        <w:t xml:space="preserve">From RAN 1 perspective, </w:t>
      </w:r>
      <w:r w:rsidRPr="0009030E">
        <w:rPr>
          <w:bCs/>
          <w:lang w:eastAsia="en-GB"/>
        </w:rPr>
        <w:t xml:space="preserve">UE-based TA measurement (UE derives TA based on Rx timing difference between current serving cell and candidate cell as well as TA value for the current serving cell) is supported. </w:t>
      </w:r>
    </w:p>
    <w:p w14:paraId="499DDFC2" w14:textId="6087C10C" w:rsidR="00A6588C" w:rsidRPr="0009030E" w:rsidRDefault="00A6588C" w:rsidP="00A6588C">
      <w:pPr>
        <w:widowControl w:val="0"/>
        <w:numPr>
          <w:ilvl w:val="0"/>
          <w:numId w:val="40"/>
        </w:numPr>
        <w:spacing w:after="0"/>
        <w:jc w:val="both"/>
        <w:rPr>
          <w:bCs/>
          <w:lang w:eastAsia="en-GB"/>
        </w:rPr>
      </w:pPr>
      <w:r w:rsidRPr="0009030E">
        <w:rPr>
          <w:bCs/>
          <w:lang w:eastAsia="en-GB"/>
        </w:rPr>
        <w:t xml:space="preserve">Corresponding UE capability is to be introduced to support UE-based TA </w:t>
      </w:r>
      <w:r w:rsidR="00FF3768" w:rsidRPr="0009030E">
        <w:rPr>
          <w:bCs/>
          <w:lang w:eastAsia="en-GB"/>
        </w:rPr>
        <w:t>measurement.</w:t>
      </w:r>
    </w:p>
    <w:p w14:paraId="489E033F" w14:textId="139C0BA1" w:rsidR="00A6588C" w:rsidRPr="0009030E" w:rsidRDefault="00A6588C" w:rsidP="00A6588C">
      <w:pPr>
        <w:widowControl w:val="0"/>
        <w:numPr>
          <w:ilvl w:val="0"/>
          <w:numId w:val="40"/>
        </w:numPr>
        <w:spacing w:after="0"/>
        <w:jc w:val="both"/>
        <w:rPr>
          <w:bCs/>
          <w:lang w:eastAsia="en-GB"/>
        </w:rPr>
      </w:pPr>
      <w:r w:rsidRPr="0009030E">
        <w:rPr>
          <w:bCs/>
          <w:lang w:eastAsia="en-GB"/>
        </w:rPr>
        <w:t xml:space="preserve">For a UE reports support of this capability, configuration of UE-based TA measurement is </w:t>
      </w:r>
      <w:r w:rsidR="00FF3768" w:rsidRPr="0009030E">
        <w:rPr>
          <w:bCs/>
          <w:lang w:eastAsia="en-GB"/>
        </w:rPr>
        <w:t>supported.</w:t>
      </w:r>
    </w:p>
    <w:p w14:paraId="70EF65B2" w14:textId="68EF396B" w:rsidR="00A6588C" w:rsidRPr="0009030E" w:rsidRDefault="00A6588C" w:rsidP="00A6588C">
      <w:pPr>
        <w:widowControl w:val="0"/>
        <w:numPr>
          <w:ilvl w:val="0"/>
          <w:numId w:val="40"/>
        </w:numPr>
        <w:spacing w:after="0"/>
        <w:jc w:val="both"/>
        <w:rPr>
          <w:bCs/>
          <w:lang w:eastAsia="en-GB"/>
        </w:rPr>
      </w:pPr>
      <w:r w:rsidRPr="0009030E">
        <w:rPr>
          <w:bCs/>
          <w:lang w:eastAsia="en-GB"/>
        </w:rPr>
        <w:t>FFS: other impacts on RAN1 spec</w:t>
      </w:r>
      <w:r w:rsidR="00FF3768">
        <w:rPr>
          <w:bCs/>
          <w:lang w:eastAsia="en-GB"/>
        </w:rPr>
        <w:t>.</w:t>
      </w:r>
    </w:p>
    <w:p w14:paraId="2B1D4764" w14:textId="77777777" w:rsidR="00A6588C" w:rsidRPr="0009030E" w:rsidRDefault="00A6588C" w:rsidP="00A6588C">
      <w:pPr>
        <w:pStyle w:val="Header"/>
        <w:tabs>
          <w:tab w:val="clear" w:pos="4153"/>
          <w:tab w:val="clear" w:pos="8306"/>
        </w:tabs>
        <w:rPr>
          <w:bCs/>
          <w:lang w:eastAsia="ja-JP"/>
        </w:rPr>
      </w:pPr>
    </w:p>
    <w:p w14:paraId="1D488632" w14:textId="77777777" w:rsidR="00A6588C" w:rsidRPr="0009030E" w:rsidRDefault="00A6588C" w:rsidP="00A6588C">
      <w:pPr>
        <w:pStyle w:val="Header"/>
        <w:tabs>
          <w:tab w:val="clear" w:pos="4153"/>
          <w:tab w:val="clear" w:pos="8306"/>
        </w:tabs>
        <w:rPr>
          <w:bCs/>
          <w:i/>
          <w:iCs/>
          <w:lang w:val="en-US" w:eastAsia="ja-JP"/>
        </w:rPr>
      </w:pPr>
      <w:r w:rsidRPr="0009030E">
        <w:rPr>
          <w:bCs/>
          <w:i/>
          <w:iCs/>
          <w:lang w:val="en-US" w:eastAsia="ja-JP"/>
        </w:rPr>
        <w:t xml:space="preserve">RAN1 respectfully asks RAN4 to analyze </w:t>
      </w:r>
      <w:r w:rsidRPr="0009030E">
        <w:rPr>
          <w:bCs/>
          <w:i/>
          <w:iCs/>
          <w:lang w:eastAsia="en-GB"/>
        </w:rPr>
        <w:t>the feasibility of supporting this mechanism.</w:t>
      </w:r>
    </w:p>
    <w:p w14:paraId="477064A0" w14:textId="77777777" w:rsidR="00D73B83" w:rsidRPr="0009030E" w:rsidRDefault="00D73B83" w:rsidP="00D73B83">
      <w:pPr>
        <w:widowControl w:val="0"/>
        <w:spacing w:after="0"/>
        <w:ind w:left="1080"/>
        <w:jc w:val="both"/>
        <w:rPr>
          <w:bCs/>
          <w:i/>
          <w:iCs/>
          <w:lang w:eastAsia="en-GB"/>
        </w:rPr>
      </w:pPr>
    </w:p>
    <w:p w14:paraId="1625FC12" w14:textId="00B3DA59" w:rsidR="00444C61" w:rsidRPr="00781369" w:rsidRDefault="002E6673" w:rsidP="008A35FC">
      <w:pPr>
        <w:jc w:val="both"/>
        <w:rPr>
          <w:iCs/>
          <w:lang w:val="en-US"/>
        </w:rPr>
      </w:pPr>
      <w:r w:rsidRPr="00781369">
        <w:rPr>
          <w:iCs/>
          <w:lang w:val="en-US"/>
        </w:rPr>
        <w:t xml:space="preserve">In this contribution, we share our views </w:t>
      </w:r>
      <w:r w:rsidR="00101E5C" w:rsidRPr="00781369">
        <w:rPr>
          <w:iCs/>
          <w:lang w:val="en-US"/>
        </w:rPr>
        <w:t>on the feasibility of UE based TA measurement from the accuracy aspect.</w:t>
      </w:r>
    </w:p>
    <w:p w14:paraId="5343CE78" w14:textId="77777777" w:rsidR="00740D7E" w:rsidRPr="00740D7E" w:rsidRDefault="00740D7E" w:rsidP="008A35FC">
      <w:pPr>
        <w:pBdr>
          <w:bottom w:val="single" w:sz="4" w:space="0" w:color="auto"/>
        </w:pBdr>
        <w:jc w:val="both"/>
        <w:rPr>
          <w:iCs/>
        </w:rPr>
      </w:pPr>
    </w:p>
    <w:p w14:paraId="14133057" w14:textId="5CD7EC08" w:rsidR="004A699B" w:rsidRDefault="001354CA" w:rsidP="00CC2049">
      <w:pPr>
        <w:pStyle w:val="Heading1"/>
        <w:numPr>
          <w:ilvl w:val="0"/>
          <w:numId w:val="8"/>
        </w:numPr>
        <w:jc w:val="both"/>
        <w:rPr>
          <w:b w:val="0"/>
          <w:lang w:val="en-US"/>
        </w:rPr>
      </w:pPr>
      <w:bookmarkStart w:id="0" w:name="_Hlk8895418"/>
      <w:r w:rsidRPr="001354CA">
        <w:rPr>
          <w:b w:val="0"/>
          <w:lang w:val="en-US"/>
        </w:rPr>
        <w:t>UE-based TA measurement</w:t>
      </w:r>
    </w:p>
    <w:p w14:paraId="4DE349AF" w14:textId="6C8950B0" w:rsidR="000B4CA5" w:rsidRDefault="008D7928" w:rsidP="00CC2049">
      <w:pPr>
        <w:jc w:val="both"/>
        <w:rPr>
          <w:lang w:eastAsia="zh-CN"/>
        </w:rPr>
      </w:pPr>
      <w:r>
        <w:rPr>
          <w:iCs/>
          <w:lang w:val="en-US"/>
        </w:rPr>
        <w:t>For the</w:t>
      </w:r>
      <w:r w:rsidR="00CC2049">
        <w:rPr>
          <w:iCs/>
          <w:lang w:val="en-US"/>
        </w:rPr>
        <w:t xml:space="preserve"> </w:t>
      </w:r>
      <w:r w:rsidR="00CC2049" w:rsidRPr="00AF716D">
        <w:rPr>
          <w:iCs/>
          <w:lang w:val="en-US"/>
        </w:rPr>
        <w:t xml:space="preserve">UE-based TA measurement, UE needs to measure the </w:t>
      </w:r>
      <w:r w:rsidR="00924085">
        <w:rPr>
          <w:iCs/>
          <w:lang w:val="en-US"/>
        </w:rPr>
        <w:t>Rx</w:t>
      </w:r>
      <w:r w:rsidR="00CC2049" w:rsidRPr="00AF716D">
        <w:rPr>
          <w:iCs/>
          <w:lang w:val="en-US"/>
        </w:rPr>
        <w:t xml:space="preserve"> timing difference between the servi</w:t>
      </w:r>
      <w:r w:rsidR="00AF716D" w:rsidRPr="00AF716D">
        <w:rPr>
          <w:iCs/>
          <w:lang w:val="en-US"/>
        </w:rPr>
        <w:t xml:space="preserve">ng cell and </w:t>
      </w:r>
      <w:r>
        <w:rPr>
          <w:iCs/>
          <w:lang w:val="en-US"/>
        </w:rPr>
        <w:t xml:space="preserve">the </w:t>
      </w:r>
      <w:r w:rsidR="00AF716D" w:rsidRPr="00AF716D">
        <w:rPr>
          <w:iCs/>
          <w:lang w:val="en-US"/>
        </w:rPr>
        <w:t xml:space="preserve">candidate cell and apply this timing difference when it </w:t>
      </w:r>
      <w:r w:rsidR="00541934" w:rsidRPr="00AF716D">
        <w:rPr>
          <w:iCs/>
          <w:lang w:val="en-US"/>
        </w:rPr>
        <w:t>switches</w:t>
      </w:r>
      <w:r w:rsidR="00AF716D" w:rsidRPr="00AF716D">
        <w:rPr>
          <w:iCs/>
          <w:lang w:val="en-US"/>
        </w:rPr>
        <w:t xml:space="preserve"> to the candidate cell. </w:t>
      </w:r>
      <w:r w:rsidR="000B4CA5">
        <w:rPr>
          <w:iCs/>
          <w:lang w:val="en-US"/>
        </w:rPr>
        <w:t>With UE</w:t>
      </w:r>
      <w:r w:rsidR="003A793A">
        <w:rPr>
          <w:iCs/>
          <w:lang w:val="en-US"/>
        </w:rPr>
        <w:t>-</w:t>
      </w:r>
      <w:r w:rsidR="000B4CA5">
        <w:rPr>
          <w:iCs/>
          <w:lang w:val="en-US"/>
        </w:rPr>
        <w:t xml:space="preserve">based TA measurement, </w:t>
      </w:r>
      <w:r w:rsidR="00541934">
        <w:rPr>
          <w:iCs/>
          <w:lang w:val="en-US"/>
        </w:rPr>
        <w:t xml:space="preserve">no additional overhead would be introduced </w:t>
      </w:r>
      <w:r w:rsidR="00FA4413">
        <w:rPr>
          <w:iCs/>
          <w:lang w:val="en-US"/>
        </w:rPr>
        <w:t>for TA acquisition for the cell switching</w:t>
      </w:r>
      <w:r w:rsidR="00B94A1A">
        <w:rPr>
          <w:iCs/>
          <w:lang w:val="en-US"/>
        </w:rPr>
        <w:t>, which improve</w:t>
      </w:r>
      <w:r w:rsidR="00F26758">
        <w:rPr>
          <w:iCs/>
          <w:lang w:val="en-US"/>
        </w:rPr>
        <w:t>s</w:t>
      </w:r>
      <w:r w:rsidR="00B94A1A">
        <w:rPr>
          <w:iCs/>
          <w:lang w:val="en-US"/>
        </w:rPr>
        <w:t xml:space="preserve"> the latency </w:t>
      </w:r>
      <w:r w:rsidR="00623B3B">
        <w:rPr>
          <w:iCs/>
          <w:lang w:val="en-US"/>
        </w:rPr>
        <w:t>of</w:t>
      </w:r>
      <w:r w:rsidR="00B94A1A">
        <w:rPr>
          <w:iCs/>
          <w:lang w:val="en-US"/>
        </w:rPr>
        <w:t xml:space="preserve"> </w:t>
      </w:r>
      <w:r w:rsidR="00623B3B">
        <w:rPr>
          <w:lang w:eastAsia="zh-CN"/>
        </w:rPr>
        <w:t>L1/L2</w:t>
      </w:r>
      <w:r w:rsidR="00F26758">
        <w:rPr>
          <w:lang w:eastAsia="zh-CN"/>
        </w:rPr>
        <w:t>-</w:t>
      </w:r>
      <w:r w:rsidR="00623B3B">
        <w:rPr>
          <w:lang w:eastAsia="zh-CN"/>
        </w:rPr>
        <w:t xml:space="preserve">based mobility. </w:t>
      </w:r>
    </w:p>
    <w:p w14:paraId="1CAA384C" w14:textId="4F06C5B8" w:rsidR="00575C99" w:rsidRDefault="00575C99" w:rsidP="00CC2049">
      <w:pPr>
        <w:jc w:val="both"/>
        <w:rPr>
          <w:b/>
          <w:bCs/>
          <w:lang w:eastAsia="zh-CN"/>
        </w:rPr>
      </w:pPr>
      <w:r w:rsidRPr="00575C99">
        <w:rPr>
          <w:b/>
          <w:bCs/>
          <w:lang w:eastAsia="zh-CN"/>
        </w:rPr>
        <w:t xml:space="preserve">Observation 1: With UE-based TA measurement, no additional overhead would be introduced for TA acquisition </w:t>
      </w:r>
      <w:r w:rsidR="008D7928">
        <w:rPr>
          <w:b/>
          <w:bCs/>
          <w:lang w:eastAsia="zh-CN"/>
        </w:rPr>
        <w:t>during</w:t>
      </w:r>
      <w:r w:rsidRPr="00575C99">
        <w:rPr>
          <w:b/>
          <w:bCs/>
          <w:lang w:eastAsia="zh-CN"/>
        </w:rPr>
        <w:t xml:space="preserve"> the cell switching, which improve</w:t>
      </w:r>
      <w:r w:rsidR="00F26758">
        <w:rPr>
          <w:b/>
          <w:bCs/>
          <w:lang w:eastAsia="zh-CN"/>
        </w:rPr>
        <w:t>s</w:t>
      </w:r>
      <w:r w:rsidRPr="00575C99">
        <w:rPr>
          <w:b/>
          <w:bCs/>
          <w:lang w:eastAsia="zh-CN"/>
        </w:rPr>
        <w:t xml:space="preserve"> the latency of L1/L2</w:t>
      </w:r>
      <w:r w:rsidR="00F26758">
        <w:rPr>
          <w:b/>
          <w:bCs/>
          <w:lang w:eastAsia="zh-CN"/>
        </w:rPr>
        <w:t>-</w:t>
      </w:r>
      <w:r w:rsidRPr="00575C99">
        <w:rPr>
          <w:b/>
          <w:bCs/>
          <w:lang w:eastAsia="zh-CN"/>
        </w:rPr>
        <w:t>based mobility.</w:t>
      </w:r>
    </w:p>
    <w:p w14:paraId="72BD5ED7" w14:textId="25B6DDAE" w:rsidR="00683E9A" w:rsidRPr="00ED748A" w:rsidRDefault="00683E9A" w:rsidP="006B2FF5">
      <w:pPr>
        <w:jc w:val="both"/>
        <w:rPr>
          <w:iCs/>
          <w:color w:val="000000" w:themeColor="text1"/>
          <w:lang w:val="en-US"/>
        </w:rPr>
      </w:pPr>
      <w:r w:rsidRPr="00683E9A">
        <w:rPr>
          <w:iCs/>
          <w:lang w:val="en-US"/>
        </w:rPr>
        <w:t xml:space="preserve">If the frame timing between </w:t>
      </w:r>
      <w:r w:rsidR="004D5D0F">
        <w:rPr>
          <w:iCs/>
          <w:lang w:val="en-US"/>
        </w:rPr>
        <w:t xml:space="preserve">the serving cell and the </w:t>
      </w:r>
      <w:r w:rsidRPr="00683E9A">
        <w:rPr>
          <w:iCs/>
          <w:lang w:val="en-US"/>
        </w:rPr>
        <w:t xml:space="preserve">neighboring cell are </w:t>
      </w:r>
      <w:r w:rsidR="000D3E31" w:rsidRPr="00683E9A">
        <w:rPr>
          <w:iCs/>
          <w:lang w:val="en-US"/>
        </w:rPr>
        <w:t>synchronized</w:t>
      </w:r>
      <w:r w:rsidRPr="00683E9A">
        <w:rPr>
          <w:iCs/>
          <w:lang w:val="en-US"/>
        </w:rPr>
        <w:t xml:space="preserve"> at the point of transmissions (i.e.</w:t>
      </w:r>
      <w:r w:rsidR="00F26758">
        <w:rPr>
          <w:iCs/>
          <w:lang w:val="en-US"/>
        </w:rPr>
        <w:t>,</w:t>
      </w:r>
      <w:r w:rsidRPr="00683E9A">
        <w:rPr>
          <w:iCs/>
          <w:lang w:val="en-US"/>
        </w:rPr>
        <w:t xml:space="preserve"> at </w:t>
      </w:r>
      <w:r w:rsidRPr="00ED748A">
        <w:rPr>
          <w:iCs/>
          <w:color w:val="000000" w:themeColor="text1"/>
          <w:lang w:val="en-US"/>
        </w:rPr>
        <w:t>the gNBs), then the UE can calculate the absolute timing advance value (</w:t>
      </w:r>
      <m:oMath>
        <m:sSub>
          <m:sSubPr>
            <m:ctrlPr>
              <w:rPr>
                <w:rFonts w:ascii="Cambria Math" w:hAnsi="Cambria Math"/>
                <w:iCs/>
                <w:color w:val="000000" w:themeColor="text1"/>
                <w:lang w:val="en-US"/>
              </w:rPr>
            </m:ctrlPr>
          </m:sSubPr>
          <m:e>
            <m:r>
              <w:rPr>
                <w:rFonts w:ascii="Cambria Math" w:hAnsi="Cambria Math"/>
                <w:color w:val="000000" w:themeColor="text1"/>
                <w:lang w:val="en-US"/>
              </w:rPr>
              <m:t>T</m:t>
            </m:r>
          </m:e>
          <m:sub>
            <m:r>
              <m:rPr>
                <m:nor/>
              </m:rPr>
              <w:rPr>
                <w:iCs/>
                <w:color w:val="000000" w:themeColor="text1"/>
                <w:lang w:val="en-US"/>
              </w:rPr>
              <m:t>TA_</m:t>
            </m:r>
            <m:r>
              <m:rPr>
                <m:nor/>
              </m:rPr>
              <w:rPr>
                <w:rFonts w:ascii="Cambria Math"/>
                <w:iCs/>
                <w:color w:val="000000" w:themeColor="text1"/>
                <w:lang w:val="en-US"/>
              </w:rPr>
              <m:t>candidate</m:t>
            </m:r>
            <m:r>
              <m:rPr>
                <m:nor/>
              </m:rPr>
              <w:rPr>
                <w:iCs/>
                <w:color w:val="000000" w:themeColor="text1"/>
                <w:lang w:val="en-US"/>
              </w:rPr>
              <m:t xml:space="preserve"> cell</m:t>
            </m:r>
          </m:sub>
        </m:sSub>
      </m:oMath>
      <w:r w:rsidRPr="00ED748A">
        <w:rPr>
          <w:iCs/>
          <w:color w:val="000000" w:themeColor="text1"/>
          <w:lang w:val="en-US"/>
        </w:rPr>
        <w:t xml:space="preserve">) for the </w:t>
      </w:r>
      <w:r w:rsidR="008234A1" w:rsidRPr="00ED748A">
        <w:rPr>
          <w:iCs/>
          <w:color w:val="000000" w:themeColor="text1"/>
          <w:lang w:val="en-US"/>
        </w:rPr>
        <w:t xml:space="preserve">candidate </w:t>
      </w:r>
      <w:r w:rsidRPr="00ED748A">
        <w:rPr>
          <w:iCs/>
          <w:color w:val="000000" w:themeColor="text1"/>
          <w:lang w:val="en-US"/>
        </w:rPr>
        <w:t>cell as follows:</w:t>
      </w:r>
    </w:p>
    <w:p w14:paraId="18D3AF6C" w14:textId="73632B42" w:rsidR="00683E9A" w:rsidRPr="00ED748A" w:rsidRDefault="00000000" w:rsidP="006B2FF5">
      <w:pPr>
        <w:autoSpaceDE w:val="0"/>
        <w:autoSpaceDN w:val="0"/>
        <w:spacing w:line="276" w:lineRule="auto"/>
        <w:jc w:val="center"/>
        <w:rPr>
          <w:color w:val="000000" w:themeColor="text1"/>
          <w:sz w:val="22"/>
          <w:szCs w:val="22"/>
        </w:rPr>
      </w:pPr>
      <m:oMath>
        <m:sSub>
          <m:sSubPr>
            <m:ctrlPr>
              <w:rPr>
                <w:rFonts w:ascii="Cambria Math" w:eastAsiaTheme="minorEastAsia" w:hAnsi="Cambria Math"/>
                <w:i/>
                <w:iCs/>
                <w:color w:val="000000" w:themeColor="text1"/>
                <w:sz w:val="22"/>
                <w:szCs w:val="22"/>
              </w:rPr>
            </m:ctrlPr>
          </m:sSubPr>
          <m:e>
            <m:r>
              <w:rPr>
                <w:rFonts w:ascii="Cambria Math" w:hAnsi="Cambria Math"/>
                <w:color w:val="000000" w:themeColor="text1"/>
                <w:sz w:val="22"/>
                <w:szCs w:val="22"/>
              </w:rPr>
              <m:t>T</m:t>
            </m:r>
          </m:e>
          <m:sub>
            <m:r>
              <m:rPr>
                <m:nor/>
              </m:rPr>
              <w:rPr>
                <w:color w:val="000000" w:themeColor="text1"/>
                <w:sz w:val="22"/>
                <w:szCs w:val="22"/>
              </w:rPr>
              <m:t>TA_</m:t>
            </m:r>
            <m:r>
              <m:rPr>
                <m:nor/>
              </m:rPr>
              <w:rPr>
                <w:rFonts w:ascii="Cambria Math"/>
                <w:color w:val="000000" w:themeColor="text1"/>
                <w:sz w:val="22"/>
                <w:szCs w:val="22"/>
              </w:rPr>
              <m:t>candidate</m:t>
            </m:r>
            <m:r>
              <m:rPr>
                <m:nor/>
              </m:rPr>
              <w:rPr>
                <w:color w:val="000000" w:themeColor="text1"/>
                <w:sz w:val="22"/>
                <w:szCs w:val="22"/>
              </w:rPr>
              <m:t xml:space="preserve"> cell</m:t>
            </m:r>
            <m:ctrlPr>
              <w:rPr>
                <w:rFonts w:ascii="Cambria Math" w:eastAsiaTheme="minorEastAsia" w:hAnsi="Cambria Math"/>
                <w:color w:val="000000" w:themeColor="text1"/>
                <w:sz w:val="22"/>
                <w:szCs w:val="22"/>
              </w:rPr>
            </m:ctrlPr>
          </m:sub>
        </m:sSub>
        <m:r>
          <w:rPr>
            <w:rFonts w:ascii="Cambria Math"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w:rPr>
                <w:rFonts w:ascii="Cambria Math" w:hAnsi="Cambria Math"/>
                <w:color w:val="000000" w:themeColor="text1"/>
                <w:sz w:val="22"/>
                <w:szCs w:val="22"/>
              </w:rPr>
              <m:t>T</m:t>
            </m:r>
          </m:e>
          <m:sub>
            <m:r>
              <m:rPr>
                <m:nor/>
              </m:rPr>
              <w:rPr>
                <w:color w:val="000000" w:themeColor="text1"/>
                <w:sz w:val="22"/>
                <w:szCs w:val="22"/>
              </w:rPr>
              <m:t>TA_serving cell</m:t>
            </m:r>
            <m:ctrlPr>
              <w:rPr>
                <w:rFonts w:ascii="Cambria Math" w:eastAsiaTheme="minorEastAsia" w:hAnsi="Cambria Math"/>
                <w:color w:val="000000" w:themeColor="text1"/>
                <w:sz w:val="22"/>
                <w:szCs w:val="22"/>
              </w:rPr>
            </m:ctrlPr>
          </m:sub>
        </m:sSub>
        <m:r>
          <w:rPr>
            <w:rFonts w:ascii="Cambria Math" w:hAnsi="Cambria Math"/>
            <w:color w:val="000000" w:themeColor="text1"/>
            <w:sz w:val="22"/>
            <w:szCs w:val="22"/>
          </w:rPr>
          <m:t>-(2*</m:t>
        </m:r>
        <m:r>
          <m:rPr>
            <m:sty m:val="p"/>
          </m:rPr>
          <w:rPr>
            <w:rFonts w:ascii="Cambria Math" w:hAnsi="Cambria Math"/>
            <w:color w:val="000000" w:themeColor="text1"/>
            <w:sz w:val="22"/>
            <w:szCs w:val="22"/>
          </w:rPr>
          <m:t>∆t)</m:t>
        </m:r>
      </m:oMath>
      <w:r w:rsidR="006B2FF5" w:rsidRPr="00ED748A">
        <w:rPr>
          <w:color w:val="000000" w:themeColor="text1"/>
          <w:sz w:val="22"/>
          <w:szCs w:val="22"/>
        </w:rPr>
        <w:t>.</w:t>
      </w:r>
    </w:p>
    <w:p w14:paraId="05F2C953" w14:textId="7FE740CF" w:rsidR="00CB7566" w:rsidRPr="00ED748A" w:rsidRDefault="00CB7566" w:rsidP="00B020D2">
      <w:pPr>
        <w:autoSpaceDE w:val="0"/>
        <w:autoSpaceDN w:val="0"/>
        <w:spacing w:line="276" w:lineRule="auto"/>
        <w:jc w:val="both"/>
        <w:rPr>
          <w:i/>
          <w:iCs/>
          <w:color w:val="000000" w:themeColor="text1"/>
        </w:rPr>
      </w:pPr>
      <w:r w:rsidRPr="00ED748A">
        <w:rPr>
          <w:i/>
          <w:iCs/>
          <w:color w:val="000000" w:themeColor="text1"/>
        </w:rPr>
        <w:t xml:space="preserve">Where </w:t>
      </w:r>
      <m:oMath>
        <m:r>
          <m:rPr>
            <m:sty m:val="bi"/>
          </m:rPr>
          <w:rPr>
            <w:rFonts w:ascii="Cambria Math" w:hAnsi="Cambria Math"/>
            <w:color w:val="000000" w:themeColor="text1"/>
          </w:rPr>
          <m:t>∆t</m:t>
        </m:r>
      </m:oMath>
      <w:r w:rsidRPr="00ED748A">
        <w:rPr>
          <w:i/>
          <w:iCs/>
          <w:color w:val="000000" w:themeColor="text1"/>
        </w:rPr>
        <w:t xml:space="preserve"> is the measurement of frame timing difference between serving cell and </w:t>
      </w:r>
      <w:r w:rsidR="00CC42BC" w:rsidRPr="00ED748A">
        <w:rPr>
          <w:i/>
          <w:iCs/>
          <w:color w:val="000000" w:themeColor="text1"/>
        </w:rPr>
        <w:t>candidate</w:t>
      </w:r>
      <w:r w:rsidRPr="00ED748A">
        <w:rPr>
          <w:i/>
          <w:iCs/>
          <w:color w:val="000000" w:themeColor="text1"/>
        </w:rPr>
        <w:t xml:space="preserve"> cell</w:t>
      </w:r>
      <w:r w:rsidR="00B020D2" w:rsidRPr="00ED748A">
        <w:rPr>
          <w:i/>
          <w:iCs/>
          <w:color w:val="000000" w:themeColor="text1"/>
        </w:rPr>
        <w:t>.</w:t>
      </w:r>
    </w:p>
    <w:p w14:paraId="76372CF1" w14:textId="5BEFD192" w:rsidR="004D5D0F" w:rsidRPr="00ED748A" w:rsidRDefault="000D3E31" w:rsidP="00ED748A">
      <w:pPr>
        <w:autoSpaceDE w:val="0"/>
        <w:autoSpaceDN w:val="0"/>
        <w:spacing w:line="276" w:lineRule="auto"/>
        <w:jc w:val="both"/>
        <w:rPr>
          <w:b/>
          <w:bCs/>
          <w:i/>
          <w:iCs/>
          <w:color w:val="000000" w:themeColor="text1"/>
        </w:rPr>
      </w:pPr>
      <w:r w:rsidRPr="00ED748A">
        <w:rPr>
          <w:b/>
          <w:bCs/>
          <w:color w:val="000000" w:themeColor="text1"/>
          <w:lang w:eastAsia="zh-CN"/>
        </w:rPr>
        <w:t>Observation</w:t>
      </w:r>
      <w:r w:rsidR="004D5D0F" w:rsidRPr="00ED748A">
        <w:rPr>
          <w:b/>
          <w:bCs/>
          <w:color w:val="000000" w:themeColor="text1"/>
          <w:lang w:eastAsia="zh-CN"/>
        </w:rPr>
        <w:t xml:space="preserve"> 2: </w:t>
      </w:r>
      <w:r w:rsidR="008F6AAA" w:rsidRPr="00ED748A">
        <w:rPr>
          <w:b/>
          <w:bCs/>
          <w:color w:val="000000" w:themeColor="text1"/>
          <w:lang w:eastAsia="zh-CN"/>
        </w:rPr>
        <w:t>T</w:t>
      </w:r>
      <w:r w:rsidR="004D5D0F" w:rsidRPr="00ED748A">
        <w:rPr>
          <w:b/>
          <w:bCs/>
          <w:color w:val="000000" w:themeColor="text1"/>
          <w:lang w:eastAsia="zh-CN"/>
        </w:rPr>
        <w:t xml:space="preserve">he </w:t>
      </w:r>
      <w:r w:rsidR="004024A7" w:rsidRPr="00ED748A">
        <w:rPr>
          <w:b/>
          <w:bCs/>
          <w:color w:val="000000" w:themeColor="text1"/>
          <w:lang w:eastAsia="zh-CN"/>
        </w:rPr>
        <w:t xml:space="preserve">time advance of the </w:t>
      </w:r>
      <w:r w:rsidR="008F6AAA" w:rsidRPr="00ED748A">
        <w:rPr>
          <w:b/>
          <w:bCs/>
          <w:color w:val="000000" w:themeColor="text1"/>
          <w:lang w:eastAsia="zh-CN"/>
        </w:rPr>
        <w:t xml:space="preserve">candidate </w:t>
      </w:r>
      <w:r w:rsidR="004024A7" w:rsidRPr="00ED748A">
        <w:rPr>
          <w:b/>
          <w:bCs/>
          <w:color w:val="000000" w:themeColor="text1"/>
          <w:lang w:eastAsia="zh-CN"/>
        </w:rPr>
        <w:t xml:space="preserve">cell can be calculated as </w:t>
      </w:r>
      <m:oMath>
        <m:sSub>
          <m:sSubPr>
            <m:ctrlPr>
              <w:rPr>
                <w:rFonts w:ascii="Cambria Math" w:hAnsi="Cambria Math"/>
                <w:b/>
                <w:bCs/>
                <w:color w:val="000000" w:themeColor="text1"/>
                <w:lang w:eastAsia="zh-CN"/>
              </w:rPr>
            </m:ctrlPr>
          </m:sSubPr>
          <m:e>
            <m:r>
              <m:rPr>
                <m:sty m:val="bi"/>
              </m:rPr>
              <w:rPr>
                <w:rFonts w:ascii="Cambria Math" w:hAnsi="Cambria Math"/>
                <w:color w:val="000000" w:themeColor="text1"/>
                <w:lang w:eastAsia="zh-CN"/>
              </w:rPr>
              <m:t>T</m:t>
            </m:r>
          </m:e>
          <m:sub>
            <m:r>
              <m:rPr>
                <m:nor/>
              </m:rPr>
              <w:rPr>
                <w:b/>
                <w:bCs/>
                <w:color w:val="000000" w:themeColor="text1"/>
                <w:lang w:eastAsia="zh-CN"/>
              </w:rPr>
              <m:t>TA_</m:t>
            </m:r>
            <m:r>
              <m:rPr>
                <m:nor/>
              </m:rPr>
              <w:rPr>
                <w:rFonts w:ascii="Cambria Math"/>
                <w:b/>
                <w:bCs/>
                <w:color w:val="000000" w:themeColor="text1"/>
                <w:lang w:eastAsia="zh-CN"/>
              </w:rPr>
              <m:t>candidate</m:t>
            </m:r>
            <m:r>
              <m:rPr>
                <m:nor/>
              </m:rPr>
              <w:rPr>
                <w:b/>
                <w:bCs/>
                <w:color w:val="000000" w:themeColor="text1"/>
                <w:lang w:eastAsia="zh-CN"/>
              </w:rPr>
              <m:t xml:space="preserve"> cell</m:t>
            </m:r>
          </m:sub>
        </m:sSub>
        <m:r>
          <m:rPr>
            <m:sty m:val="b"/>
          </m:rPr>
          <w:rPr>
            <w:rFonts w:ascii="Cambria Math" w:hAnsi="Cambria Math"/>
            <w:color w:val="000000" w:themeColor="text1"/>
            <w:lang w:eastAsia="zh-CN"/>
          </w:rPr>
          <m:t>=</m:t>
        </m:r>
        <m:sSub>
          <m:sSubPr>
            <m:ctrlPr>
              <w:rPr>
                <w:rFonts w:ascii="Cambria Math" w:hAnsi="Cambria Math"/>
                <w:b/>
                <w:bCs/>
                <w:color w:val="000000" w:themeColor="text1"/>
                <w:lang w:eastAsia="zh-CN"/>
              </w:rPr>
            </m:ctrlPr>
          </m:sSubPr>
          <m:e>
            <m:r>
              <m:rPr>
                <m:sty m:val="bi"/>
              </m:rPr>
              <w:rPr>
                <w:rFonts w:ascii="Cambria Math" w:hAnsi="Cambria Math"/>
                <w:color w:val="000000" w:themeColor="text1"/>
                <w:lang w:eastAsia="zh-CN"/>
              </w:rPr>
              <m:t>T</m:t>
            </m:r>
          </m:e>
          <m:sub>
            <m:r>
              <m:rPr>
                <m:nor/>
              </m:rPr>
              <w:rPr>
                <w:b/>
                <w:bCs/>
                <w:color w:val="000000" w:themeColor="text1"/>
                <w:lang w:eastAsia="zh-CN"/>
              </w:rPr>
              <m:t>TA_serving cell</m:t>
            </m:r>
          </m:sub>
        </m:sSub>
        <m:r>
          <m:rPr>
            <m:sty m:val="b"/>
          </m:rPr>
          <w:rPr>
            <w:rFonts w:ascii="Cambria Math" w:hAnsi="Cambria Math"/>
            <w:color w:val="000000" w:themeColor="text1"/>
            <w:lang w:eastAsia="zh-CN"/>
          </w:rPr>
          <m:t>-(2*∆t)</m:t>
        </m:r>
      </m:oMath>
      <w:r w:rsidR="007171AE" w:rsidRPr="00ED748A">
        <w:rPr>
          <w:b/>
          <w:bCs/>
          <w:color w:val="000000" w:themeColor="text1"/>
          <w:lang w:eastAsia="zh-CN"/>
        </w:rPr>
        <w:t xml:space="preserve">, </w:t>
      </w:r>
      <w:r w:rsidR="007171AE" w:rsidRPr="00ED748A">
        <w:rPr>
          <w:b/>
          <w:bCs/>
          <w:i/>
          <w:iCs/>
          <w:color w:val="000000" w:themeColor="text1"/>
        </w:rPr>
        <w:t xml:space="preserve">where </w:t>
      </w:r>
      <m:oMath>
        <m:r>
          <m:rPr>
            <m:sty m:val="bi"/>
          </m:rPr>
          <w:rPr>
            <w:rFonts w:ascii="Cambria Math" w:hAnsi="Cambria Math"/>
            <w:color w:val="000000" w:themeColor="text1"/>
          </w:rPr>
          <m:t>∆t</m:t>
        </m:r>
      </m:oMath>
      <w:r w:rsidR="007171AE" w:rsidRPr="00ED748A">
        <w:rPr>
          <w:b/>
          <w:bCs/>
          <w:i/>
          <w:iCs/>
          <w:color w:val="000000" w:themeColor="text1"/>
        </w:rPr>
        <w:t xml:space="preserve"> is the measurement of frame timing difference between serving cell and </w:t>
      </w:r>
      <w:r w:rsidR="00CC42BC" w:rsidRPr="00ED748A">
        <w:rPr>
          <w:b/>
          <w:bCs/>
          <w:i/>
          <w:iCs/>
          <w:color w:val="000000" w:themeColor="text1"/>
        </w:rPr>
        <w:t>candidate</w:t>
      </w:r>
      <w:r w:rsidR="007171AE" w:rsidRPr="00ED748A">
        <w:rPr>
          <w:b/>
          <w:bCs/>
          <w:i/>
          <w:iCs/>
          <w:color w:val="000000" w:themeColor="text1"/>
        </w:rPr>
        <w:t xml:space="preserve"> cell.</w:t>
      </w:r>
    </w:p>
    <w:p w14:paraId="553EEC58" w14:textId="0EB8514A" w:rsidR="001354CA" w:rsidRPr="001354CA" w:rsidRDefault="001354CA" w:rsidP="00CC2049">
      <w:pPr>
        <w:pStyle w:val="Heading1"/>
        <w:numPr>
          <w:ilvl w:val="0"/>
          <w:numId w:val="8"/>
        </w:numPr>
        <w:jc w:val="both"/>
        <w:rPr>
          <w:b w:val="0"/>
          <w:lang w:val="en-US"/>
        </w:rPr>
      </w:pPr>
      <w:r>
        <w:rPr>
          <w:b w:val="0"/>
          <w:lang w:val="en-US"/>
        </w:rPr>
        <w:t xml:space="preserve">Feasibility and accuracy of UE-based TA measurement </w:t>
      </w:r>
    </w:p>
    <w:p w14:paraId="141538A2" w14:textId="3AB5914C" w:rsidR="00CC2049" w:rsidRDefault="00F26758" w:rsidP="00CC2049">
      <w:pPr>
        <w:jc w:val="both"/>
        <w:rPr>
          <w:iCs/>
          <w:lang w:val="en-US"/>
        </w:rPr>
      </w:pPr>
      <w:r>
        <w:rPr>
          <w:iCs/>
          <w:lang w:val="en-US"/>
        </w:rPr>
        <w:t>Functional-wise, the measurement of Rx timing difference ∆t between the serving and candidate cells is very similar to the DL RSTD measurement for positioning, where UE measures</w:t>
      </w:r>
      <w:r w:rsidR="00AA25D1">
        <w:rPr>
          <w:iCs/>
          <w:lang w:val="en-US"/>
        </w:rPr>
        <w:t xml:space="preserve"> the time difference PRS from </w:t>
      </w:r>
      <w:r w:rsidR="00924085">
        <w:rPr>
          <w:iCs/>
          <w:lang w:val="en-US"/>
        </w:rPr>
        <w:t>multiple</w:t>
      </w:r>
      <w:r w:rsidR="00AA25D1">
        <w:rPr>
          <w:iCs/>
          <w:lang w:val="en-US"/>
        </w:rPr>
        <w:t xml:space="preserve"> TPs</w:t>
      </w:r>
      <w:r w:rsidR="00723A18">
        <w:rPr>
          <w:iCs/>
          <w:lang w:val="en-US"/>
        </w:rPr>
        <w:t>.</w:t>
      </w:r>
      <w:r w:rsidR="000559A3">
        <w:rPr>
          <w:iCs/>
          <w:lang w:val="en-US"/>
        </w:rPr>
        <w:t xml:space="preserve"> </w:t>
      </w:r>
      <w:r w:rsidR="00723A18">
        <w:rPr>
          <w:iCs/>
          <w:lang w:val="en-US"/>
        </w:rPr>
        <w:t>The RSTD measurement in NR</w:t>
      </w:r>
      <w:r w:rsidR="000559A3">
        <w:rPr>
          <w:iCs/>
          <w:lang w:val="en-US"/>
        </w:rPr>
        <w:t xml:space="preserve"> has been supported since Rel-16. Therefore, </w:t>
      </w:r>
      <w:r w:rsidR="00451A6F">
        <w:rPr>
          <w:iCs/>
          <w:lang w:val="en-US"/>
        </w:rPr>
        <w:t xml:space="preserve">it </w:t>
      </w:r>
      <w:r w:rsidR="00EE2ED3">
        <w:rPr>
          <w:iCs/>
          <w:lang w:val="en-US"/>
        </w:rPr>
        <w:t>can be concluded that</w:t>
      </w:r>
      <w:r w:rsidR="00451A6F">
        <w:rPr>
          <w:iCs/>
          <w:lang w:val="en-US"/>
        </w:rPr>
        <w:t xml:space="preserve"> functional</w:t>
      </w:r>
      <w:r>
        <w:rPr>
          <w:iCs/>
          <w:lang w:val="en-US"/>
        </w:rPr>
        <w:t>-</w:t>
      </w:r>
      <w:r w:rsidR="00451A6F">
        <w:rPr>
          <w:iCs/>
          <w:lang w:val="en-US"/>
        </w:rPr>
        <w:t>wise</w:t>
      </w:r>
      <w:r w:rsidR="00EE2ED3">
        <w:rPr>
          <w:iCs/>
          <w:lang w:val="en-US"/>
        </w:rPr>
        <w:t>, it is feasible for NR UE</w:t>
      </w:r>
      <w:r w:rsidR="00451A6F">
        <w:rPr>
          <w:iCs/>
          <w:lang w:val="en-US"/>
        </w:rPr>
        <w:t xml:space="preserve"> </w:t>
      </w:r>
      <w:r w:rsidR="004474A6">
        <w:rPr>
          <w:iCs/>
          <w:lang w:val="en-US"/>
        </w:rPr>
        <w:t xml:space="preserve">to support UE-based TA measurement. </w:t>
      </w:r>
    </w:p>
    <w:p w14:paraId="271F6287" w14:textId="319C5B1B" w:rsidR="00575C99" w:rsidRPr="00575C99" w:rsidRDefault="00575C99" w:rsidP="00CC2049">
      <w:pPr>
        <w:jc w:val="both"/>
        <w:rPr>
          <w:b/>
          <w:bCs/>
          <w:iCs/>
          <w:lang w:val="en-US"/>
        </w:rPr>
      </w:pPr>
      <w:r w:rsidRPr="00575C99">
        <w:rPr>
          <w:b/>
          <w:bCs/>
          <w:iCs/>
          <w:lang w:val="en-US"/>
        </w:rPr>
        <w:lastRenderedPageBreak/>
        <w:t xml:space="preserve">Observation </w:t>
      </w:r>
      <w:r w:rsidR="00625596">
        <w:rPr>
          <w:b/>
          <w:bCs/>
          <w:iCs/>
          <w:lang w:val="en-US"/>
        </w:rPr>
        <w:t>3</w:t>
      </w:r>
      <w:r w:rsidRPr="00575C99">
        <w:rPr>
          <w:b/>
          <w:bCs/>
          <w:iCs/>
          <w:lang w:val="en-US"/>
        </w:rPr>
        <w:t xml:space="preserve">: </w:t>
      </w:r>
      <w:r>
        <w:rPr>
          <w:b/>
          <w:bCs/>
          <w:iCs/>
          <w:lang w:val="en-US"/>
        </w:rPr>
        <w:t>T</w:t>
      </w:r>
      <w:r w:rsidRPr="00575C99">
        <w:rPr>
          <w:b/>
          <w:bCs/>
          <w:iCs/>
          <w:lang w:val="en-US"/>
        </w:rPr>
        <w:t xml:space="preserve">he </w:t>
      </w:r>
      <w:r w:rsidR="002E1FA7" w:rsidRPr="002E1FA7">
        <w:rPr>
          <w:b/>
          <w:bCs/>
          <w:iCs/>
          <w:lang w:val="en-US"/>
        </w:rPr>
        <w:t xml:space="preserve">UE-based TA measurement </w:t>
      </w:r>
      <w:r w:rsidRPr="00575C99">
        <w:rPr>
          <w:b/>
          <w:bCs/>
          <w:iCs/>
          <w:lang w:val="en-US"/>
        </w:rPr>
        <w:t>is similar to the DL RSTD measurement for positioning</w:t>
      </w:r>
      <w:r w:rsidR="00F26758">
        <w:rPr>
          <w:b/>
          <w:bCs/>
          <w:iCs/>
          <w:lang w:val="en-US"/>
        </w:rPr>
        <w:t>,</w:t>
      </w:r>
      <w:r w:rsidRPr="00575C99">
        <w:rPr>
          <w:b/>
          <w:bCs/>
          <w:iCs/>
          <w:lang w:val="en-US"/>
        </w:rPr>
        <w:t xml:space="preserve"> where UE measure</w:t>
      </w:r>
      <w:r w:rsidR="00F26758">
        <w:rPr>
          <w:b/>
          <w:bCs/>
          <w:iCs/>
          <w:lang w:val="en-US"/>
        </w:rPr>
        <w:t>s</w:t>
      </w:r>
      <w:r w:rsidRPr="00575C99">
        <w:rPr>
          <w:b/>
          <w:bCs/>
          <w:iCs/>
          <w:lang w:val="en-US"/>
        </w:rPr>
        <w:t xml:space="preserve"> the time difference PRS from two TPs</w:t>
      </w:r>
      <w:r w:rsidR="00625596">
        <w:rPr>
          <w:b/>
          <w:bCs/>
          <w:iCs/>
          <w:lang w:val="en-US"/>
        </w:rPr>
        <w:t>.</w:t>
      </w:r>
      <w:r w:rsidR="002E1FA7">
        <w:rPr>
          <w:b/>
          <w:bCs/>
          <w:iCs/>
          <w:lang w:val="en-US"/>
        </w:rPr>
        <w:t xml:space="preserve"> Therefore, it is feasible for UE to measure the Rx time difference between the serving cell and the candidate cell.</w:t>
      </w:r>
    </w:p>
    <w:p w14:paraId="6BEC786E" w14:textId="6293DFE2" w:rsidR="009C6842" w:rsidRDefault="00A00B03" w:rsidP="00CC2049">
      <w:pPr>
        <w:jc w:val="both"/>
        <w:rPr>
          <w:iCs/>
          <w:lang w:val="en-US"/>
        </w:rPr>
      </w:pPr>
      <w:r>
        <w:rPr>
          <w:iCs/>
          <w:lang w:val="en-US"/>
        </w:rPr>
        <w:t xml:space="preserve">From the performance point of view, </w:t>
      </w:r>
      <w:r w:rsidR="009A2ADA">
        <w:rPr>
          <w:iCs/>
          <w:lang w:val="en-US"/>
        </w:rPr>
        <w:t>the estimation error in UE</w:t>
      </w:r>
      <w:r w:rsidR="00F26758">
        <w:rPr>
          <w:iCs/>
          <w:lang w:val="en-US"/>
        </w:rPr>
        <w:t>-</w:t>
      </w:r>
      <w:r w:rsidR="009A2ADA">
        <w:rPr>
          <w:iCs/>
          <w:lang w:val="en-US"/>
        </w:rPr>
        <w:t xml:space="preserve">based TA measurement transmission error is smaller than </w:t>
      </w:r>
      <w:r w:rsidR="00F26758">
        <w:rPr>
          <w:iCs/>
          <w:lang w:val="en-US"/>
        </w:rPr>
        <w:t xml:space="preserve">the </w:t>
      </w:r>
      <w:r w:rsidR="009A2ADA">
        <w:rPr>
          <w:iCs/>
          <w:lang w:val="en-US"/>
        </w:rPr>
        <w:t xml:space="preserve">CP length. </w:t>
      </w:r>
    </w:p>
    <w:p w14:paraId="34DBF58F" w14:textId="0F6385F6" w:rsidR="009F2F68" w:rsidRDefault="009C6842" w:rsidP="00CC2049">
      <w:pPr>
        <w:jc w:val="both"/>
        <w:rPr>
          <w:iCs/>
          <w:lang w:val="en-US"/>
        </w:rPr>
      </w:pPr>
      <w:r>
        <w:rPr>
          <w:iCs/>
          <w:lang w:val="en-US"/>
        </w:rPr>
        <w:t xml:space="preserve">Assuming the serving cell and candidate cell are synchronized, </w:t>
      </w:r>
      <w:r w:rsidRPr="008C59C8">
        <w:rPr>
          <w:iCs/>
          <w:lang w:val="en-US"/>
        </w:rPr>
        <w:t>if</w:t>
      </w:r>
      <w:r w:rsidR="00692C9A" w:rsidRPr="008C59C8">
        <w:rPr>
          <w:iCs/>
          <w:lang w:val="en-US"/>
        </w:rPr>
        <w:t xml:space="preserve"> we take the RSTD accuracy requirement in </w:t>
      </w:r>
      <w:r w:rsidR="00C66230">
        <w:rPr>
          <w:iCs/>
          <w:lang w:val="en-US"/>
        </w:rPr>
        <w:t xml:space="preserve">TS </w:t>
      </w:r>
      <w:r w:rsidR="00692C9A" w:rsidRPr="008C59C8">
        <w:rPr>
          <w:iCs/>
          <w:lang w:val="en-US"/>
        </w:rPr>
        <w:t xml:space="preserve">38.133 as a reference case, where </w:t>
      </w:r>
      <w:r w:rsidRPr="008C59C8">
        <w:rPr>
          <w:iCs/>
          <w:lang w:val="en-US"/>
        </w:rPr>
        <w:t>the</w:t>
      </w:r>
      <w:r w:rsidR="006029E3" w:rsidRPr="008C59C8">
        <w:rPr>
          <w:iCs/>
          <w:lang w:val="en-US"/>
        </w:rPr>
        <w:t xml:space="preserve"> accuracy requirements for RSTD measurement shall be within ±(X+Y+Z+Δ) Tc.</w:t>
      </w:r>
      <w:r w:rsidR="00692C9A" w:rsidRPr="008C59C8">
        <w:rPr>
          <w:iCs/>
          <w:lang w:val="en-US"/>
        </w:rPr>
        <w:t xml:space="preserve"> It can be seen that for 15 </w:t>
      </w:r>
      <w:r w:rsidR="009F594B">
        <w:rPr>
          <w:iCs/>
          <w:lang w:val="en-US"/>
        </w:rPr>
        <w:t>k</w:t>
      </w:r>
      <w:r w:rsidR="00692C9A" w:rsidRPr="008C59C8">
        <w:rPr>
          <w:iCs/>
          <w:lang w:val="en-US"/>
        </w:rPr>
        <w:t xml:space="preserve">Hz </w:t>
      </w:r>
      <w:r w:rsidR="006D7636" w:rsidRPr="008C59C8">
        <w:rPr>
          <w:iCs/>
          <w:lang w:val="en-US"/>
        </w:rPr>
        <w:t>SCS</w:t>
      </w:r>
      <w:r w:rsidR="00A97AAC">
        <w:rPr>
          <w:iCs/>
          <w:lang w:val="en-US"/>
        </w:rPr>
        <w:t xml:space="preserve"> with 24 RB</w:t>
      </w:r>
      <w:r w:rsidR="006D7636" w:rsidRPr="008C59C8">
        <w:rPr>
          <w:iCs/>
          <w:lang w:val="en-US"/>
        </w:rPr>
        <w:t xml:space="preserve">, </w:t>
      </w:r>
      <w:r w:rsidR="00E66391" w:rsidRPr="008C59C8">
        <w:rPr>
          <w:iCs/>
          <w:lang w:val="en-US"/>
        </w:rPr>
        <w:t>depend</w:t>
      </w:r>
      <w:r w:rsidR="00F26758">
        <w:rPr>
          <w:iCs/>
          <w:lang w:val="en-US"/>
        </w:rPr>
        <w:t>ing</w:t>
      </w:r>
      <w:r w:rsidR="00E66391" w:rsidRPr="008C59C8">
        <w:rPr>
          <w:iCs/>
          <w:lang w:val="en-US"/>
        </w:rPr>
        <w:t xml:space="preserve"> on the </w:t>
      </w:r>
      <w:r w:rsidR="00A46C1B" w:rsidRPr="008C59C8">
        <w:rPr>
          <w:iCs/>
          <w:lang w:val="en-US"/>
        </w:rPr>
        <w:t xml:space="preserve">channel and UE capability, the UE shall be able to measure the time difference within a range of a few hundred Tc </w:t>
      </w:r>
      <w:r w:rsidR="00456B38" w:rsidRPr="008C59C8">
        <w:rPr>
          <w:iCs/>
          <w:lang w:val="en-US"/>
        </w:rPr>
        <w:t xml:space="preserve">(~100 to 500 Tc), where Tc </w:t>
      </w:r>
      <w:r w:rsidR="00535B67">
        <w:rPr>
          <w:iCs/>
          <w:lang w:val="en-US"/>
        </w:rPr>
        <w:t>=</w:t>
      </w:r>
      <w:r w:rsidR="00866B52" w:rsidRPr="008C59C8">
        <w:rPr>
          <w:iCs/>
          <w:lang w:val="en-US"/>
        </w:rPr>
        <w:t xml:space="preserve"> 0.509</w:t>
      </w:r>
      <w:r w:rsidR="00535B67">
        <w:rPr>
          <w:iCs/>
          <w:lang w:val="en-US"/>
        </w:rPr>
        <w:t xml:space="preserve"> </w:t>
      </w:r>
      <w:r w:rsidR="00866B52" w:rsidRPr="008C59C8">
        <w:rPr>
          <w:iCs/>
          <w:lang w:val="en-US"/>
        </w:rPr>
        <w:t>ns. This is much shorter compar</w:t>
      </w:r>
      <w:r w:rsidR="00F26758">
        <w:rPr>
          <w:iCs/>
          <w:lang w:val="en-US"/>
        </w:rPr>
        <w:t>ed</w:t>
      </w:r>
      <w:r w:rsidR="00866B52" w:rsidRPr="008C59C8">
        <w:rPr>
          <w:iCs/>
          <w:lang w:val="en-US"/>
        </w:rPr>
        <w:t xml:space="preserve"> to the normal CP length </w:t>
      </w:r>
      <w:r w:rsidR="008C59C8" w:rsidRPr="008C59C8">
        <w:rPr>
          <w:iCs/>
          <w:lang w:val="en-US"/>
        </w:rPr>
        <w:t xml:space="preserve">= 4.69 us for 15 kHz. </w:t>
      </w:r>
    </w:p>
    <w:p w14:paraId="5AB80646" w14:textId="65D8329E" w:rsidR="00BA3872" w:rsidRDefault="0028401A" w:rsidP="00CC2049">
      <w:pPr>
        <w:jc w:val="both"/>
        <w:rPr>
          <w:iCs/>
          <w:lang w:val="en-US"/>
        </w:rPr>
      </w:pPr>
      <w:r>
        <w:rPr>
          <w:iCs/>
          <w:lang w:val="en-US"/>
        </w:rPr>
        <w:t xml:space="preserve">For the </w:t>
      </w:r>
      <w:r w:rsidRPr="00AE0A4A">
        <w:rPr>
          <w:iCs/>
          <w:lang w:val="en-US"/>
        </w:rPr>
        <w:t xml:space="preserve">UE-based TA measurement, </w:t>
      </w:r>
      <w:r w:rsidR="00A530F7">
        <w:rPr>
          <w:iCs/>
          <w:lang w:val="en-US"/>
        </w:rPr>
        <w:t xml:space="preserve">considering if SSB would be used, the time difference measurement is likely to be less accurate </w:t>
      </w:r>
      <w:r w:rsidR="009F2F68">
        <w:rPr>
          <w:iCs/>
          <w:lang w:val="en-US"/>
        </w:rPr>
        <w:t>compared</w:t>
      </w:r>
      <w:r w:rsidR="00A530F7">
        <w:rPr>
          <w:iCs/>
          <w:lang w:val="en-US"/>
        </w:rPr>
        <w:t xml:space="preserve"> to PRS, due to the smaller BW</w:t>
      </w:r>
      <w:r w:rsidR="00011F48">
        <w:rPr>
          <w:iCs/>
          <w:lang w:val="en-US"/>
        </w:rPr>
        <w:t xml:space="preserve"> (20 RB for SSB v.s. at least 24 RB for PRS)</w:t>
      </w:r>
      <w:r w:rsidR="009F2F68">
        <w:rPr>
          <w:iCs/>
          <w:lang w:val="en-US"/>
        </w:rPr>
        <w:t xml:space="preserve">. However, considering the time accuracy of PRS is significantly shorter than CP length, it can be </w:t>
      </w:r>
      <w:r w:rsidR="002F709F">
        <w:rPr>
          <w:iCs/>
          <w:lang w:val="en-US"/>
        </w:rPr>
        <w:t>expected</w:t>
      </w:r>
      <w:r w:rsidR="009F2F68">
        <w:rPr>
          <w:iCs/>
          <w:lang w:val="en-US"/>
        </w:rPr>
        <w:t xml:space="preserve"> that the UE</w:t>
      </w:r>
      <w:r w:rsidR="002F709F">
        <w:rPr>
          <w:iCs/>
          <w:lang w:val="en-US"/>
        </w:rPr>
        <w:t>-</w:t>
      </w:r>
      <w:r w:rsidR="009F2F68">
        <w:rPr>
          <w:iCs/>
          <w:lang w:val="en-US"/>
        </w:rPr>
        <w:t xml:space="preserve">based TA measurement can reach a sufficiently good accuracy even with SSB. </w:t>
      </w:r>
      <w:r w:rsidR="004D087E">
        <w:rPr>
          <w:iCs/>
          <w:lang w:val="en-US"/>
        </w:rPr>
        <w:t xml:space="preserve">Therefore, </w:t>
      </w:r>
      <w:r w:rsidR="004D087E" w:rsidRPr="007915FA">
        <w:rPr>
          <w:iCs/>
          <w:lang w:val="en-US"/>
        </w:rPr>
        <w:t xml:space="preserve">UEs are feasible to measure the Rx timing difference between serving and candidate cells within a tolerance significantly lower than CP length with different reference signals. </w:t>
      </w:r>
    </w:p>
    <w:p w14:paraId="7E7CCAA9" w14:textId="27F30BE3" w:rsidR="00BA3872" w:rsidRPr="00497BA3" w:rsidRDefault="00BA3872" w:rsidP="00CC2049">
      <w:pPr>
        <w:jc w:val="both"/>
        <w:rPr>
          <w:b/>
          <w:bCs/>
          <w:iCs/>
          <w:lang w:val="en-US"/>
        </w:rPr>
      </w:pPr>
      <w:r w:rsidRPr="00497BA3">
        <w:rPr>
          <w:b/>
          <w:bCs/>
          <w:iCs/>
          <w:lang w:val="en-US"/>
        </w:rPr>
        <w:t xml:space="preserve">Observation 4: </w:t>
      </w:r>
      <w:r w:rsidR="00241DFA" w:rsidRPr="00497BA3">
        <w:rPr>
          <w:b/>
          <w:bCs/>
          <w:iCs/>
          <w:lang w:val="en-US"/>
        </w:rPr>
        <w:t>UE</w:t>
      </w:r>
      <w:r w:rsidR="00497BA3">
        <w:rPr>
          <w:b/>
          <w:bCs/>
          <w:iCs/>
          <w:lang w:val="en-US"/>
        </w:rPr>
        <w:t>s</w:t>
      </w:r>
      <w:r w:rsidR="00241DFA" w:rsidRPr="00497BA3">
        <w:rPr>
          <w:b/>
          <w:bCs/>
          <w:iCs/>
          <w:lang w:val="en-US"/>
        </w:rPr>
        <w:t xml:space="preserve"> </w:t>
      </w:r>
      <w:r w:rsidR="00497BA3">
        <w:rPr>
          <w:b/>
          <w:bCs/>
          <w:iCs/>
          <w:lang w:val="en-US"/>
        </w:rPr>
        <w:t>are</w:t>
      </w:r>
      <w:r w:rsidR="00241DFA" w:rsidRPr="00497BA3">
        <w:rPr>
          <w:b/>
          <w:bCs/>
          <w:iCs/>
          <w:lang w:val="en-US"/>
        </w:rPr>
        <w:t xml:space="preserve"> feasible to </w:t>
      </w:r>
      <w:r w:rsidR="008347FF" w:rsidRPr="00497BA3">
        <w:rPr>
          <w:b/>
          <w:bCs/>
          <w:iCs/>
          <w:lang w:val="en-US"/>
        </w:rPr>
        <w:t>measure</w:t>
      </w:r>
      <w:r w:rsidR="00241DFA" w:rsidRPr="00497BA3">
        <w:rPr>
          <w:b/>
          <w:bCs/>
          <w:iCs/>
          <w:lang w:val="en-US"/>
        </w:rPr>
        <w:t xml:space="preserve"> the</w:t>
      </w:r>
      <w:r w:rsidR="008347FF" w:rsidRPr="00497BA3">
        <w:rPr>
          <w:b/>
          <w:bCs/>
          <w:iCs/>
          <w:lang w:val="en-US"/>
        </w:rPr>
        <w:t xml:space="preserve"> Rx</w:t>
      </w:r>
      <w:r w:rsidR="00241DFA" w:rsidRPr="00497BA3">
        <w:rPr>
          <w:b/>
          <w:bCs/>
          <w:iCs/>
          <w:lang w:val="en-US"/>
        </w:rPr>
        <w:t xml:space="preserve"> tim</w:t>
      </w:r>
      <w:r w:rsidR="008347FF" w:rsidRPr="00497BA3">
        <w:rPr>
          <w:b/>
          <w:bCs/>
          <w:iCs/>
          <w:lang w:val="en-US"/>
        </w:rPr>
        <w:t>ing</w:t>
      </w:r>
      <w:r w:rsidR="00241DFA" w:rsidRPr="00497BA3">
        <w:rPr>
          <w:b/>
          <w:bCs/>
          <w:iCs/>
          <w:lang w:val="en-US"/>
        </w:rPr>
        <w:t xml:space="preserve"> difference between </w:t>
      </w:r>
      <w:r w:rsidR="008347FF" w:rsidRPr="00497BA3">
        <w:rPr>
          <w:b/>
          <w:bCs/>
          <w:iCs/>
          <w:lang w:val="en-US"/>
        </w:rPr>
        <w:t xml:space="preserve">serving </w:t>
      </w:r>
      <w:r w:rsidR="00F26758">
        <w:rPr>
          <w:b/>
          <w:bCs/>
          <w:iCs/>
          <w:lang w:val="en-US"/>
        </w:rPr>
        <w:t>and candidate cells within a tolerance</w:t>
      </w:r>
      <w:r w:rsidR="00497BA3" w:rsidRPr="00497BA3">
        <w:rPr>
          <w:b/>
          <w:bCs/>
          <w:iCs/>
          <w:lang w:val="en-US"/>
        </w:rPr>
        <w:t xml:space="preserve"> significantly lower than CP length</w:t>
      </w:r>
      <w:r w:rsidR="009F2F68">
        <w:rPr>
          <w:b/>
          <w:bCs/>
          <w:iCs/>
          <w:lang w:val="en-US"/>
        </w:rPr>
        <w:t xml:space="preserve"> with different reference signals</w:t>
      </w:r>
      <w:r w:rsidR="00497BA3" w:rsidRPr="00497BA3">
        <w:rPr>
          <w:b/>
          <w:bCs/>
          <w:iCs/>
          <w:lang w:val="en-US"/>
        </w:rPr>
        <w:t xml:space="preserve">. </w:t>
      </w:r>
    </w:p>
    <w:p w14:paraId="11BA7272" w14:textId="1964BDCB" w:rsidR="005105E7" w:rsidRDefault="00676257" w:rsidP="00CC2049">
      <w:pPr>
        <w:jc w:val="both"/>
        <w:rPr>
          <w:rFonts w:ascii="Arial" w:hAnsi="Arial" w:cs="Arial"/>
          <w:bCs/>
          <w:i/>
          <w:iCs/>
          <w:lang w:eastAsia="en-GB"/>
        </w:rPr>
      </w:pPr>
      <w:r w:rsidRPr="00AE0A4A">
        <w:rPr>
          <w:iCs/>
          <w:lang w:val="en-US"/>
        </w:rPr>
        <w:t>In addition, such a time accuracy is also within the initial time accuracy requirement</w:t>
      </w:r>
      <w:r w:rsidR="00AE0A4A" w:rsidRPr="00AE0A4A">
        <w:rPr>
          <w:iCs/>
          <w:lang w:val="en-US"/>
        </w:rPr>
        <w:t xml:space="preserve"> (10*64*Tc for 15kHz SCS)</w:t>
      </w:r>
      <w:r w:rsidRPr="00AE0A4A">
        <w:rPr>
          <w:iCs/>
          <w:lang w:val="en-US"/>
        </w:rPr>
        <w:t xml:space="preserve">. </w:t>
      </w:r>
      <w:r w:rsidR="00DC367B" w:rsidRPr="00AE0A4A">
        <w:rPr>
          <w:iCs/>
          <w:lang w:val="en-US"/>
        </w:rPr>
        <w:t xml:space="preserve">Therefore, </w:t>
      </w:r>
      <w:r w:rsidR="0069413E" w:rsidRPr="00AE0A4A">
        <w:rPr>
          <w:iCs/>
          <w:lang w:val="en-US"/>
        </w:rPr>
        <w:t xml:space="preserve">it can be expected that </w:t>
      </w:r>
      <w:r w:rsidRPr="00AE0A4A">
        <w:rPr>
          <w:iCs/>
          <w:lang w:val="en-US"/>
        </w:rPr>
        <w:t>UE-based TA measurement should be accura</w:t>
      </w:r>
      <w:r w:rsidR="00F26758">
        <w:rPr>
          <w:iCs/>
          <w:lang w:val="en-US"/>
        </w:rPr>
        <w:t>te</w:t>
      </w:r>
      <w:r w:rsidRPr="00AE0A4A">
        <w:rPr>
          <w:iCs/>
          <w:lang w:val="en-US"/>
        </w:rPr>
        <w:t xml:space="preserve"> enough for cell</w:t>
      </w:r>
      <w:r w:rsidR="00F26758">
        <w:rPr>
          <w:iCs/>
          <w:lang w:val="en-US"/>
        </w:rPr>
        <w:t>-</w:t>
      </w:r>
      <w:r w:rsidRPr="00AE0A4A">
        <w:rPr>
          <w:iCs/>
          <w:lang w:val="en-US"/>
        </w:rPr>
        <w:t>switching purpose</w:t>
      </w:r>
      <w:r w:rsidR="00F26758">
        <w:rPr>
          <w:iCs/>
          <w:lang w:val="en-US"/>
        </w:rPr>
        <w:t>s</w:t>
      </w:r>
      <w:r w:rsidRPr="00AE0A4A">
        <w:rPr>
          <w:iCs/>
          <w:lang w:val="en-US"/>
        </w:rPr>
        <w:t>.</w:t>
      </w:r>
      <w:r w:rsidRPr="00D73B83">
        <w:rPr>
          <w:iCs/>
          <w:lang w:val="en-US"/>
        </w:rPr>
        <w:t xml:space="preserve"> </w:t>
      </w:r>
      <w:r w:rsidR="00D73B83" w:rsidRPr="00D73B83">
        <w:rPr>
          <w:iCs/>
          <w:lang w:val="en-US"/>
        </w:rPr>
        <w:t>RAN4 shall define the corresponding accuracy requirement to ensure the UE can perform well enough in real life.</w:t>
      </w:r>
      <w:r w:rsidR="00D73B83">
        <w:rPr>
          <w:rFonts w:ascii="Arial" w:hAnsi="Arial" w:cs="Arial"/>
          <w:bCs/>
          <w:i/>
          <w:iCs/>
          <w:lang w:eastAsia="en-GB"/>
        </w:rPr>
        <w:t xml:space="preserve"> </w:t>
      </w:r>
    </w:p>
    <w:p w14:paraId="7FFF010A" w14:textId="01E3C0B6" w:rsidR="00862D69" w:rsidRDefault="00862D69" w:rsidP="00CC2049">
      <w:pPr>
        <w:jc w:val="both"/>
        <w:rPr>
          <w:b/>
          <w:bCs/>
          <w:iCs/>
          <w:lang w:val="en-US"/>
        </w:rPr>
      </w:pPr>
      <w:r w:rsidRPr="00940506">
        <w:rPr>
          <w:b/>
          <w:bCs/>
          <w:iCs/>
          <w:lang w:val="en-US"/>
        </w:rPr>
        <w:t>Proposal 1. RAN4 confirm</w:t>
      </w:r>
      <w:r w:rsidR="00F26758">
        <w:rPr>
          <w:b/>
          <w:bCs/>
          <w:iCs/>
          <w:lang w:val="en-US"/>
        </w:rPr>
        <w:t>s</w:t>
      </w:r>
      <w:r w:rsidRPr="00940506">
        <w:rPr>
          <w:b/>
          <w:bCs/>
          <w:iCs/>
          <w:lang w:val="en-US"/>
        </w:rPr>
        <w:t xml:space="preserve"> the feasibility of UE</w:t>
      </w:r>
      <w:r w:rsidR="00F26758">
        <w:rPr>
          <w:b/>
          <w:bCs/>
          <w:iCs/>
          <w:lang w:val="en-US"/>
        </w:rPr>
        <w:t>-</w:t>
      </w:r>
      <w:r w:rsidRPr="00940506">
        <w:rPr>
          <w:b/>
          <w:bCs/>
          <w:iCs/>
          <w:lang w:val="en-US"/>
        </w:rPr>
        <w:t xml:space="preserve">based TA measurement </w:t>
      </w:r>
      <w:r w:rsidR="00940506" w:rsidRPr="00940506">
        <w:rPr>
          <w:b/>
          <w:bCs/>
          <w:iCs/>
          <w:lang w:val="en-US"/>
        </w:rPr>
        <w:t xml:space="preserve">when </w:t>
      </w:r>
      <w:r w:rsidR="00F26758">
        <w:rPr>
          <w:b/>
          <w:bCs/>
          <w:iCs/>
          <w:lang w:val="en-US"/>
        </w:rPr>
        <w:t xml:space="preserve">the </w:t>
      </w:r>
      <w:r w:rsidR="00940506" w:rsidRPr="00940506">
        <w:rPr>
          <w:b/>
          <w:bCs/>
          <w:iCs/>
          <w:lang w:val="en-US"/>
        </w:rPr>
        <w:t>serving cell and candidate cell are synchronized.</w:t>
      </w:r>
    </w:p>
    <w:p w14:paraId="7C52E264" w14:textId="52DC14E3" w:rsidR="00D73B83" w:rsidRPr="00D73B83" w:rsidRDefault="00D73B83" w:rsidP="00CC2049">
      <w:pPr>
        <w:jc w:val="both"/>
        <w:rPr>
          <w:b/>
          <w:bCs/>
          <w:iCs/>
          <w:lang w:val="en-US"/>
        </w:rPr>
      </w:pPr>
      <w:r>
        <w:rPr>
          <w:b/>
          <w:bCs/>
          <w:iCs/>
          <w:lang w:val="en-US"/>
        </w:rPr>
        <w:t xml:space="preserve">Proposal 2: </w:t>
      </w:r>
      <w:r w:rsidRPr="00D73B83">
        <w:rPr>
          <w:b/>
          <w:bCs/>
          <w:iCs/>
          <w:lang w:val="en-US"/>
        </w:rPr>
        <w:t xml:space="preserve">RAN4 shall define the corresponding accuracy requirement for UE-based TA measurement </w:t>
      </w:r>
      <w:r w:rsidR="00F26758">
        <w:rPr>
          <w:b/>
          <w:bCs/>
          <w:iCs/>
          <w:lang w:val="en-US"/>
        </w:rPr>
        <w:t>in</w:t>
      </w:r>
      <w:r w:rsidRPr="00D73B83">
        <w:rPr>
          <w:b/>
          <w:bCs/>
          <w:iCs/>
          <w:lang w:val="en-US"/>
        </w:rPr>
        <w:t xml:space="preserve"> the case that the serving cell and candidate cell are synchronized. </w:t>
      </w:r>
    </w:p>
    <w:p w14:paraId="02386A20" w14:textId="3C684AD0" w:rsidR="00940506" w:rsidRPr="00D0516E" w:rsidRDefault="00940506" w:rsidP="00940506">
      <w:pPr>
        <w:jc w:val="both"/>
        <w:rPr>
          <w:iCs/>
          <w:lang w:val="en-US"/>
        </w:rPr>
      </w:pPr>
      <w:r w:rsidRPr="00D0516E">
        <w:rPr>
          <w:iCs/>
          <w:lang w:val="en-US"/>
        </w:rPr>
        <w:t>For the unsynchronized</w:t>
      </w:r>
      <w:r w:rsidR="00BF3F03">
        <w:rPr>
          <w:iCs/>
          <w:lang w:val="en-US"/>
        </w:rPr>
        <w:t xml:space="preserve"> case</w:t>
      </w:r>
      <w:r w:rsidR="00D67320" w:rsidRPr="00D0516E">
        <w:rPr>
          <w:iCs/>
          <w:lang w:val="en-US"/>
        </w:rPr>
        <w:t>, as the time offset between the serving cell and candidate cell is unknown to the UE, more studies</w:t>
      </w:r>
      <w:r w:rsidR="001F39B4" w:rsidRPr="00D0516E">
        <w:rPr>
          <w:iCs/>
          <w:lang w:val="en-US"/>
        </w:rPr>
        <w:t xml:space="preserve"> on the feasibility aspect</w:t>
      </w:r>
      <w:r w:rsidR="00D67320" w:rsidRPr="00D0516E">
        <w:rPr>
          <w:iCs/>
          <w:lang w:val="en-US"/>
        </w:rPr>
        <w:t xml:space="preserve"> may </w:t>
      </w:r>
      <w:r w:rsidR="001F39B4" w:rsidRPr="00D0516E">
        <w:rPr>
          <w:iCs/>
          <w:lang w:val="en-US"/>
        </w:rPr>
        <w:t xml:space="preserve">be </w:t>
      </w:r>
      <w:r w:rsidR="00D67320" w:rsidRPr="00D0516E">
        <w:rPr>
          <w:iCs/>
          <w:lang w:val="en-US"/>
        </w:rPr>
        <w:t>need</w:t>
      </w:r>
      <w:r w:rsidR="001F39B4" w:rsidRPr="00D0516E">
        <w:rPr>
          <w:iCs/>
          <w:lang w:val="en-US"/>
        </w:rPr>
        <w:t>ed.</w:t>
      </w:r>
      <w:r w:rsidR="00D67320" w:rsidRPr="00D0516E">
        <w:rPr>
          <w:iCs/>
          <w:lang w:val="en-US"/>
        </w:rPr>
        <w:t xml:space="preserve"> </w:t>
      </w:r>
      <w:r w:rsidR="00D0516E" w:rsidRPr="00D0516E">
        <w:rPr>
          <w:iCs/>
          <w:lang w:val="en-US"/>
        </w:rPr>
        <w:t>RAN4 can further study this scenario in the rest time of Rel-18</w:t>
      </w:r>
      <w:r w:rsidR="00F26758">
        <w:rPr>
          <w:iCs/>
          <w:lang w:val="en-US"/>
        </w:rPr>
        <w:t>,</w:t>
      </w:r>
      <w:r w:rsidR="00D0516E" w:rsidRPr="00D0516E">
        <w:rPr>
          <w:iCs/>
          <w:lang w:val="en-US"/>
        </w:rPr>
        <w:t xml:space="preserve"> while it will be up to RAN1 to determine if such a case should be supported in this release. </w:t>
      </w:r>
    </w:p>
    <w:p w14:paraId="6C98FF6C" w14:textId="5F04D257" w:rsidR="00940506" w:rsidRPr="00555100" w:rsidRDefault="00D0516E" w:rsidP="00CC2049">
      <w:pPr>
        <w:jc w:val="both"/>
        <w:rPr>
          <w:rFonts w:eastAsiaTheme="minorEastAsia"/>
          <w:b/>
          <w:bCs/>
          <w:iCs/>
          <w:lang w:val="en-US" w:eastAsia="zh-CN"/>
        </w:rPr>
      </w:pPr>
      <w:r w:rsidRPr="00940506">
        <w:rPr>
          <w:b/>
          <w:bCs/>
          <w:iCs/>
          <w:lang w:val="en-US"/>
        </w:rPr>
        <w:t xml:space="preserve">Proposal </w:t>
      </w:r>
      <w:r w:rsidR="00B52852">
        <w:rPr>
          <w:b/>
          <w:bCs/>
          <w:iCs/>
          <w:lang w:val="en-US"/>
        </w:rPr>
        <w:t>3</w:t>
      </w:r>
      <w:r w:rsidRPr="00940506">
        <w:rPr>
          <w:b/>
          <w:bCs/>
          <w:iCs/>
          <w:lang w:val="en-US"/>
        </w:rPr>
        <w:t xml:space="preserve">. </w:t>
      </w:r>
      <w:r>
        <w:rPr>
          <w:b/>
          <w:bCs/>
          <w:iCs/>
          <w:lang w:val="en-US"/>
        </w:rPr>
        <w:t xml:space="preserve">FFS the feasibility when the serving cell and candidate cell are not synchronized. </w:t>
      </w:r>
    </w:p>
    <w:bookmarkEnd w:id="0"/>
    <w:p w14:paraId="26958B81" w14:textId="77777777" w:rsidR="000230B3" w:rsidRPr="00860A7E" w:rsidRDefault="00800DFD" w:rsidP="008A35FC">
      <w:pPr>
        <w:pStyle w:val="Heading1"/>
        <w:numPr>
          <w:ilvl w:val="0"/>
          <w:numId w:val="8"/>
        </w:numPr>
        <w:jc w:val="both"/>
        <w:rPr>
          <w:b w:val="0"/>
          <w:lang w:val="en-US"/>
        </w:rPr>
      </w:pPr>
      <w:r w:rsidRPr="00860A7E">
        <w:rPr>
          <w:b w:val="0"/>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53665865" w14:textId="77777777" w:rsidR="00ED748A" w:rsidRDefault="00ED748A" w:rsidP="00ED748A">
      <w:pPr>
        <w:jc w:val="both"/>
        <w:rPr>
          <w:b/>
          <w:bCs/>
          <w:lang w:eastAsia="zh-CN"/>
        </w:rPr>
      </w:pPr>
      <w:r w:rsidRPr="00575C99">
        <w:rPr>
          <w:b/>
          <w:bCs/>
          <w:lang w:eastAsia="zh-CN"/>
        </w:rPr>
        <w:t xml:space="preserve">Observation 1: With UE-based TA measurement, no additional overhead would be introduced for TA acquisition </w:t>
      </w:r>
      <w:r>
        <w:rPr>
          <w:b/>
          <w:bCs/>
          <w:lang w:eastAsia="zh-CN"/>
        </w:rPr>
        <w:t>during</w:t>
      </w:r>
      <w:r w:rsidRPr="00575C99">
        <w:rPr>
          <w:b/>
          <w:bCs/>
          <w:lang w:eastAsia="zh-CN"/>
        </w:rPr>
        <w:t xml:space="preserve"> the cell switching, which improve</w:t>
      </w:r>
      <w:r>
        <w:rPr>
          <w:b/>
          <w:bCs/>
          <w:lang w:eastAsia="zh-CN"/>
        </w:rPr>
        <w:t>s</w:t>
      </w:r>
      <w:r w:rsidRPr="00575C99">
        <w:rPr>
          <w:b/>
          <w:bCs/>
          <w:lang w:eastAsia="zh-CN"/>
        </w:rPr>
        <w:t xml:space="preserve"> the latency of L1/L2</w:t>
      </w:r>
      <w:r>
        <w:rPr>
          <w:b/>
          <w:bCs/>
          <w:lang w:eastAsia="zh-CN"/>
        </w:rPr>
        <w:t>-</w:t>
      </w:r>
      <w:r w:rsidRPr="00575C99">
        <w:rPr>
          <w:b/>
          <w:bCs/>
          <w:lang w:eastAsia="zh-CN"/>
        </w:rPr>
        <w:t>based mobility.</w:t>
      </w:r>
    </w:p>
    <w:p w14:paraId="0C2E33A6" w14:textId="3041280F" w:rsidR="00ED748A" w:rsidRPr="00ED748A" w:rsidRDefault="00ED748A" w:rsidP="00ED748A">
      <w:pPr>
        <w:autoSpaceDE w:val="0"/>
        <w:autoSpaceDN w:val="0"/>
        <w:spacing w:line="276" w:lineRule="auto"/>
        <w:jc w:val="both"/>
        <w:rPr>
          <w:b/>
          <w:bCs/>
          <w:i/>
          <w:iCs/>
          <w:color w:val="000000" w:themeColor="text1"/>
        </w:rPr>
      </w:pPr>
      <w:r w:rsidRPr="00ED748A">
        <w:rPr>
          <w:b/>
          <w:bCs/>
          <w:color w:val="000000" w:themeColor="text1"/>
          <w:lang w:eastAsia="zh-CN"/>
        </w:rPr>
        <w:t xml:space="preserve">Observation 2: The time advance of the candidate cell can be calculated as </w:t>
      </w:r>
      <m:oMath>
        <m:sSub>
          <m:sSubPr>
            <m:ctrlPr>
              <w:rPr>
                <w:rFonts w:ascii="Cambria Math" w:hAnsi="Cambria Math"/>
                <w:b/>
                <w:bCs/>
                <w:color w:val="000000" w:themeColor="text1"/>
                <w:lang w:eastAsia="zh-CN"/>
              </w:rPr>
            </m:ctrlPr>
          </m:sSubPr>
          <m:e>
            <m:r>
              <m:rPr>
                <m:sty m:val="bi"/>
              </m:rPr>
              <w:rPr>
                <w:rFonts w:ascii="Cambria Math" w:hAnsi="Cambria Math"/>
                <w:color w:val="000000" w:themeColor="text1"/>
                <w:lang w:eastAsia="zh-CN"/>
              </w:rPr>
              <m:t>T</m:t>
            </m:r>
          </m:e>
          <m:sub>
            <m:r>
              <m:rPr>
                <m:nor/>
              </m:rPr>
              <w:rPr>
                <w:b/>
                <w:bCs/>
                <w:color w:val="000000" w:themeColor="text1"/>
                <w:lang w:eastAsia="zh-CN"/>
              </w:rPr>
              <m:t>TA_</m:t>
            </m:r>
            <m:r>
              <m:rPr>
                <m:nor/>
              </m:rPr>
              <w:rPr>
                <w:rFonts w:ascii="Cambria Math"/>
                <w:b/>
                <w:bCs/>
                <w:color w:val="000000" w:themeColor="text1"/>
                <w:lang w:eastAsia="zh-CN"/>
              </w:rPr>
              <m:t>candidate</m:t>
            </m:r>
            <m:r>
              <m:rPr>
                <m:nor/>
              </m:rPr>
              <w:rPr>
                <w:b/>
                <w:bCs/>
                <w:color w:val="000000" w:themeColor="text1"/>
                <w:lang w:eastAsia="zh-CN"/>
              </w:rPr>
              <m:t xml:space="preserve"> cell</m:t>
            </m:r>
          </m:sub>
        </m:sSub>
        <m:r>
          <m:rPr>
            <m:sty m:val="b"/>
          </m:rPr>
          <w:rPr>
            <w:rFonts w:ascii="Cambria Math" w:hAnsi="Cambria Math"/>
            <w:color w:val="000000" w:themeColor="text1"/>
            <w:lang w:eastAsia="zh-CN"/>
          </w:rPr>
          <m:t>=</m:t>
        </m:r>
        <m:sSub>
          <m:sSubPr>
            <m:ctrlPr>
              <w:rPr>
                <w:rFonts w:ascii="Cambria Math" w:hAnsi="Cambria Math"/>
                <w:b/>
                <w:bCs/>
                <w:color w:val="000000" w:themeColor="text1"/>
                <w:lang w:eastAsia="zh-CN"/>
              </w:rPr>
            </m:ctrlPr>
          </m:sSubPr>
          <m:e>
            <m:r>
              <m:rPr>
                <m:sty m:val="bi"/>
              </m:rPr>
              <w:rPr>
                <w:rFonts w:ascii="Cambria Math" w:hAnsi="Cambria Math"/>
                <w:color w:val="000000" w:themeColor="text1"/>
                <w:lang w:eastAsia="zh-CN"/>
              </w:rPr>
              <m:t>T</m:t>
            </m:r>
          </m:e>
          <m:sub>
            <m:r>
              <m:rPr>
                <m:nor/>
              </m:rPr>
              <w:rPr>
                <w:b/>
                <w:bCs/>
                <w:color w:val="000000" w:themeColor="text1"/>
                <w:lang w:eastAsia="zh-CN"/>
              </w:rPr>
              <m:t>TA_serving cell</m:t>
            </m:r>
          </m:sub>
        </m:sSub>
        <m:r>
          <m:rPr>
            <m:sty m:val="b"/>
          </m:rPr>
          <w:rPr>
            <w:rFonts w:ascii="Cambria Math" w:hAnsi="Cambria Math"/>
            <w:color w:val="000000" w:themeColor="text1"/>
            <w:lang w:eastAsia="zh-CN"/>
          </w:rPr>
          <m:t>-(2*∆t)</m:t>
        </m:r>
      </m:oMath>
      <w:r w:rsidRPr="00ED748A">
        <w:rPr>
          <w:b/>
          <w:bCs/>
          <w:color w:val="000000" w:themeColor="text1"/>
          <w:lang w:eastAsia="zh-CN"/>
        </w:rPr>
        <w:t xml:space="preserve">, </w:t>
      </w:r>
      <w:r w:rsidRPr="00ED748A">
        <w:rPr>
          <w:b/>
          <w:bCs/>
          <w:i/>
          <w:iCs/>
          <w:color w:val="000000" w:themeColor="text1"/>
        </w:rPr>
        <w:t xml:space="preserve">where </w:t>
      </w:r>
      <m:oMath>
        <m:r>
          <m:rPr>
            <m:sty m:val="bi"/>
          </m:rPr>
          <w:rPr>
            <w:rFonts w:ascii="Cambria Math" w:hAnsi="Cambria Math"/>
            <w:color w:val="000000" w:themeColor="text1"/>
          </w:rPr>
          <m:t>∆t</m:t>
        </m:r>
      </m:oMath>
      <w:r w:rsidRPr="00ED748A">
        <w:rPr>
          <w:b/>
          <w:bCs/>
          <w:i/>
          <w:iCs/>
          <w:color w:val="000000" w:themeColor="text1"/>
        </w:rPr>
        <w:t xml:space="preserve"> is the measurement of frame timing difference between serving cell and candidate cell.</w:t>
      </w:r>
    </w:p>
    <w:p w14:paraId="5F7576B1" w14:textId="77777777" w:rsidR="00ED748A" w:rsidRPr="00575C99" w:rsidRDefault="00ED748A" w:rsidP="00ED748A">
      <w:pPr>
        <w:jc w:val="both"/>
        <w:rPr>
          <w:b/>
          <w:bCs/>
          <w:iCs/>
          <w:lang w:val="en-US"/>
        </w:rPr>
      </w:pPr>
      <w:r w:rsidRPr="00575C99">
        <w:rPr>
          <w:b/>
          <w:bCs/>
          <w:iCs/>
          <w:lang w:val="en-US"/>
        </w:rPr>
        <w:t xml:space="preserve">Observation </w:t>
      </w:r>
      <w:r>
        <w:rPr>
          <w:b/>
          <w:bCs/>
          <w:iCs/>
          <w:lang w:val="en-US"/>
        </w:rPr>
        <w:t>3</w:t>
      </w:r>
      <w:r w:rsidRPr="00575C99">
        <w:rPr>
          <w:b/>
          <w:bCs/>
          <w:iCs/>
          <w:lang w:val="en-US"/>
        </w:rPr>
        <w:t xml:space="preserve">: </w:t>
      </w:r>
      <w:r>
        <w:rPr>
          <w:b/>
          <w:bCs/>
          <w:iCs/>
          <w:lang w:val="en-US"/>
        </w:rPr>
        <w:t>T</w:t>
      </w:r>
      <w:r w:rsidRPr="00575C99">
        <w:rPr>
          <w:b/>
          <w:bCs/>
          <w:iCs/>
          <w:lang w:val="en-US"/>
        </w:rPr>
        <w:t xml:space="preserve">he </w:t>
      </w:r>
      <w:r w:rsidRPr="002E1FA7">
        <w:rPr>
          <w:b/>
          <w:bCs/>
          <w:iCs/>
          <w:lang w:val="en-US"/>
        </w:rPr>
        <w:t xml:space="preserve">UE-based TA measurement </w:t>
      </w:r>
      <w:r w:rsidRPr="00575C99">
        <w:rPr>
          <w:b/>
          <w:bCs/>
          <w:iCs/>
          <w:lang w:val="en-US"/>
        </w:rPr>
        <w:t>is similar to the DL RSTD measurement for positioning</w:t>
      </w:r>
      <w:r>
        <w:rPr>
          <w:b/>
          <w:bCs/>
          <w:iCs/>
          <w:lang w:val="en-US"/>
        </w:rPr>
        <w:t>,</w:t>
      </w:r>
      <w:r w:rsidRPr="00575C99">
        <w:rPr>
          <w:b/>
          <w:bCs/>
          <w:iCs/>
          <w:lang w:val="en-US"/>
        </w:rPr>
        <w:t xml:space="preserve"> where UE measure</w:t>
      </w:r>
      <w:r>
        <w:rPr>
          <w:b/>
          <w:bCs/>
          <w:iCs/>
          <w:lang w:val="en-US"/>
        </w:rPr>
        <w:t>s</w:t>
      </w:r>
      <w:r w:rsidRPr="00575C99">
        <w:rPr>
          <w:b/>
          <w:bCs/>
          <w:iCs/>
          <w:lang w:val="en-US"/>
        </w:rPr>
        <w:t xml:space="preserve"> the time difference PRS from two TPs</w:t>
      </w:r>
      <w:r>
        <w:rPr>
          <w:b/>
          <w:bCs/>
          <w:iCs/>
          <w:lang w:val="en-US"/>
        </w:rPr>
        <w:t>. Therefore, it is feasible for UE to measure the Rx time difference between the serving cell and the candidate cell.</w:t>
      </w:r>
    </w:p>
    <w:p w14:paraId="701412AF" w14:textId="77777777" w:rsidR="00ED748A" w:rsidRDefault="00ED748A" w:rsidP="00ED748A">
      <w:pPr>
        <w:jc w:val="both"/>
        <w:rPr>
          <w:b/>
          <w:bCs/>
          <w:iCs/>
          <w:lang w:val="en-US"/>
        </w:rPr>
      </w:pPr>
      <w:r w:rsidRPr="00497BA3">
        <w:rPr>
          <w:b/>
          <w:bCs/>
          <w:iCs/>
          <w:lang w:val="en-US"/>
        </w:rPr>
        <w:t>Observation 4: UE</w:t>
      </w:r>
      <w:r>
        <w:rPr>
          <w:b/>
          <w:bCs/>
          <w:iCs/>
          <w:lang w:val="en-US"/>
        </w:rPr>
        <w:t>s</w:t>
      </w:r>
      <w:r w:rsidRPr="00497BA3">
        <w:rPr>
          <w:b/>
          <w:bCs/>
          <w:iCs/>
          <w:lang w:val="en-US"/>
        </w:rPr>
        <w:t xml:space="preserve"> </w:t>
      </w:r>
      <w:r>
        <w:rPr>
          <w:b/>
          <w:bCs/>
          <w:iCs/>
          <w:lang w:val="en-US"/>
        </w:rPr>
        <w:t>are</w:t>
      </w:r>
      <w:r w:rsidRPr="00497BA3">
        <w:rPr>
          <w:b/>
          <w:bCs/>
          <w:iCs/>
          <w:lang w:val="en-US"/>
        </w:rPr>
        <w:t xml:space="preserve"> feasible to measure the Rx timing difference between serving </w:t>
      </w:r>
      <w:r>
        <w:rPr>
          <w:b/>
          <w:bCs/>
          <w:iCs/>
          <w:lang w:val="en-US"/>
        </w:rPr>
        <w:t>and candidate cells within a tolerance</w:t>
      </w:r>
      <w:r w:rsidRPr="00497BA3">
        <w:rPr>
          <w:b/>
          <w:bCs/>
          <w:iCs/>
          <w:lang w:val="en-US"/>
        </w:rPr>
        <w:t xml:space="preserve"> significantly lower than CP length</w:t>
      </w:r>
      <w:r>
        <w:rPr>
          <w:b/>
          <w:bCs/>
          <w:iCs/>
          <w:lang w:val="en-US"/>
        </w:rPr>
        <w:t xml:space="preserve"> with different reference signals</w:t>
      </w:r>
      <w:r w:rsidRPr="00497BA3">
        <w:rPr>
          <w:b/>
          <w:bCs/>
          <w:iCs/>
          <w:lang w:val="en-US"/>
        </w:rPr>
        <w:t xml:space="preserve">. </w:t>
      </w:r>
    </w:p>
    <w:p w14:paraId="6FAD7515" w14:textId="77777777" w:rsidR="00ED748A" w:rsidRDefault="00ED748A" w:rsidP="00ED748A">
      <w:pPr>
        <w:jc w:val="both"/>
        <w:rPr>
          <w:b/>
          <w:bCs/>
          <w:iCs/>
          <w:lang w:val="en-US"/>
        </w:rPr>
      </w:pPr>
      <w:r w:rsidRPr="00940506">
        <w:rPr>
          <w:b/>
          <w:bCs/>
          <w:iCs/>
          <w:lang w:val="en-US"/>
        </w:rPr>
        <w:t>Proposal 1. RAN4 confirm</w:t>
      </w:r>
      <w:r>
        <w:rPr>
          <w:b/>
          <w:bCs/>
          <w:iCs/>
          <w:lang w:val="en-US"/>
        </w:rPr>
        <w:t>s</w:t>
      </w:r>
      <w:r w:rsidRPr="00940506">
        <w:rPr>
          <w:b/>
          <w:bCs/>
          <w:iCs/>
          <w:lang w:val="en-US"/>
        </w:rPr>
        <w:t xml:space="preserve"> the feasibility of UE</w:t>
      </w:r>
      <w:r>
        <w:rPr>
          <w:b/>
          <w:bCs/>
          <w:iCs/>
          <w:lang w:val="en-US"/>
        </w:rPr>
        <w:t>-</w:t>
      </w:r>
      <w:r w:rsidRPr="00940506">
        <w:rPr>
          <w:b/>
          <w:bCs/>
          <w:iCs/>
          <w:lang w:val="en-US"/>
        </w:rPr>
        <w:t xml:space="preserve">based TA measurement when </w:t>
      </w:r>
      <w:r>
        <w:rPr>
          <w:b/>
          <w:bCs/>
          <w:iCs/>
          <w:lang w:val="en-US"/>
        </w:rPr>
        <w:t xml:space="preserve">the </w:t>
      </w:r>
      <w:r w:rsidRPr="00940506">
        <w:rPr>
          <w:b/>
          <w:bCs/>
          <w:iCs/>
          <w:lang w:val="en-US"/>
        </w:rPr>
        <w:t>serving cell and candidate cell are synchronized.</w:t>
      </w:r>
    </w:p>
    <w:p w14:paraId="6C71A435" w14:textId="77777777" w:rsidR="00ED748A" w:rsidRPr="00D73B83" w:rsidRDefault="00ED748A" w:rsidP="00ED748A">
      <w:pPr>
        <w:jc w:val="both"/>
        <w:rPr>
          <w:b/>
          <w:bCs/>
          <w:iCs/>
          <w:lang w:val="en-US"/>
        </w:rPr>
      </w:pPr>
      <w:r>
        <w:rPr>
          <w:b/>
          <w:bCs/>
          <w:iCs/>
          <w:lang w:val="en-US"/>
        </w:rPr>
        <w:t xml:space="preserve">Proposal 2: </w:t>
      </w:r>
      <w:r w:rsidRPr="00D73B83">
        <w:rPr>
          <w:b/>
          <w:bCs/>
          <w:iCs/>
          <w:lang w:val="en-US"/>
        </w:rPr>
        <w:t xml:space="preserve">RAN4 shall define the corresponding accuracy requirement for UE-based TA measurement </w:t>
      </w:r>
      <w:r>
        <w:rPr>
          <w:b/>
          <w:bCs/>
          <w:iCs/>
          <w:lang w:val="en-US"/>
        </w:rPr>
        <w:t>in</w:t>
      </w:r>
      <w:r w:rsidRPr="00D73B83">
        <w:rPr>
          <w:b/>
          <w:bCs/>
          <w:iCs/>
          <w:lang w:val="en-US"/>
        </w:rPr>
        <w:t xml:space="preserve"> the case that the serving cell and candidate cell are synchronized. </w:t>
      </w:r>
    </w:p>
    <w:p w14:paraId="5034BE6A" w14:textId="77777777" w:rsidR="00ED748A" w:rsidRPr="00555100" w:rsidRDefault="00ED748A" w:rsidP="00ED748A">
      <w:pPr>
        <w:jc w:val="both"/>
        <w:rPr>
          <w:rFonts w:eastAsiaTheme="minorEastAsia"/>
          <w:b/>
          <w:bCs/>
          <w:iCs/>
          <w:lang w:val="en-US" w:eastAsia="zh-CN"/>
        </w:rPr>
      </w:pPr>
      <w:r w:rsidRPr="00940506">
        <w:rPr>
          <w:b/>
          <w:bCs/>
          <w:iCs/>
          <w:lang w:val="en-US"/>
        </w:rPr>
        <w:t xml:space="preserve">Proposal </w:t>
      </w:r>
      <w:r>
        <w:rPr>
          <w:b/>
          <w:bCs/>
          <w:iCs/>
          <w:lang w:val="en-US"/>
        </w:rPr>
        <w:t>3</w:t>
      </w:r>
      <w:r w:rsidRPr="00940506">
        <w:rPr>
          <w:b/>
          <w:bCs/>
          <w:iCs/>
          <w:lang w:val="en-US"/>
        </w:rPr>
        <w:t xml:space="preserve">. </w:t>
      </w:r>
      <w:r>
        <w:rPr>
          <w:b/>
          <w:bCs/>
          <w:iCs/>
          <w:lang w:val="en-US"/>
        </w:rPr>
        <w:t xml:space="preserve">FFS the feasibility when the serving cell and candidate cell are not synchronized. </w:t>
      </w:r>
    </w:p>
    <w:p w14:paraId="71B6C847" w14:textId="77777777" w:rsidR="00ED748A" w:rsidRPr="00ED748A" w:rsidRDefault="00ED748A" w:rsidP="00ED748A">
      <w:pPr>
        <w:jc w:val="both"/>
        <w:rPr>
          <w:b/>
          <w:bCs/>
          <w:lang w:val="en-US" w:eastAsia="zh-CN"/>
        </w:rPr>
      </w:pPr>
    </w:p>
    <w:p w14:paraId="394A9910" w14:textId="77777777" w:rsidR="00860A7E" w:rsidRPr="00860A7E" w:rsidRDefault="00860A7E" w:rsidP="008A35FC">
      <w:pPr>
        <w:pStyle w:val="Heading1"/>
        <w:numPr>
          <w:ilvl w:val="0"/>
          <w:numId w:val="8"/>
        </w:numPr>
        <w:jc w:val="both"/>
        <w:rPr>
          <w:b w:val="0"/>
        </w:rPr>
      </w:pPr>
      <w:r w:rsidRPr="00860A7E">
        <w:rPr>
          <w:b w:val="0"/>
        </w:rPr>
        <w:lastRenderedPageBreak/>
        <w:t>References</w:t>
      </w:r>
    </w:p>
    <w:p w14:paraId="46FA3CCE" w14:textId="5DA29F7E" w:rsidR="0000317A" w:rsidRPr="00D17CFE" w:rsidRDefault="0000317A" w:rsidP="00D17CFE">
      <w:pPr>
        <w:pStyle w:val="BodyText"/>
        <w:numPr>
          <w:ilvl w:val="0"/>
          <w:numId w:val="7"/>
        </w:numPr>
        <w:jc w:val="both"/>
        <w:rPr>
          <w:lang w:val="en-US"/>
        </w:rPr>
      </w:pPr>
      <w:r w:rsidRPr="00D17CFE">
        <w:rPr>
          <w:lang w:val="en-US"/>
        </w:rPr>
        <w:t>R1-2306259</w:t>
      </w:r>
      <w:r w:rsidR="009F6582" w:rsidRPr="00D17CFE">
        <w:rPr>
          <w:lang w:val="en-US"/>
        </w:rPr>
        <w:t xml:space="preserve"> LS on beam application time, contents of cell switch command, TCI state activation and UE based TA measurement for LTM</w:t>
      </w:r>
      <w:r w:rsidR="00D17CFE" w:rsidRPr="00D17CFE">
        <w:rPr>
          <w:lang w:val="en-US"/>
        </w:rPr>
        <w:t xml:space="preserve"> RAN1</w:t>
      </w:r>
    </w:p>
    <w:p w14:paraId="586F9158" w14:textId="77777777" w:rsidR="00C83673" w:rsidRPr="00932ED8" w:rsidRDefault="00C83673" w:rsidP="00D17CFE">
      <w:pPr>
        <w:pStyle w:val="BodyText"/>
        <w:ind w:left="360"/>
        <w:jc w:val="both"/>
        <w:rPr>
          <w:lang w:val="en-US"/>
        </w:rPr>
      </w:pPr>
    </w:p>
    <w:p w14:paraId="6C149988" w14:textId="77777777" w:rsidR="00A410D2" w:rsidRDefault="00A410D2" w:rsidP="00A410D2">
      <w:pPr>
        <w:pStyle w:val="BodyText"/>
        <w:jc w:val="both"/>
        <w:rPr>
          <w:lang w:val="en-US"/>
        </w:rPr>
      </w:pPr>
    </w:p>
    <w:p w14:paraId="6D52EFDD" w14:textId="77777777" w:rsidR="003D5C8C" w:rsidRPr="0061172A" w:rsidRDefault="003D5C8C" w:rsidP="008F6492">
      <w:pPr>
        <w:pStyle w:val="BodyText"/>
        <w:jc w:val="both"/>
      </w:pPr>
    </w:p>
    <w:sectPr w:rsidR="003D5C8C" w:rsidRPr="0061172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41F48" w14:textId="77777777" w:rsidR="007460F0" w:rsidRDefault="007460F0">
      <w:r>
        <w:separator/>
      </w:r>
    </w:p>
  </w:endnote>
  <w:endnote w:type="continuationSeparator" w:id="0">
    <w:p w14:paraId="067C87D4" w14:textId="77777777" w:rsidR="007460F0" w:rsidRDefault="007460F0">
      <w:r>
        <w:continuationSeparator/>
      </w:r>
    </w:p>
  </w:endnote>
  <w:endnote w:type="continuationNotice" w:id="1">
    <w:p w14:paraId="54490D4A" w14:textId="77777777" w:rsidR="007460F0" w:rsidRDefault="00746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0C8A" w14:textId="77777777" w:rsidR="007460F0" w:rsidRDefault="007460F0">
      <w:r>
        <w:separator/>
      </w:r>
    </w:p>
  </w:footnote>
  <w:footnote w:type="continuationSeparator" w:id="0">
    <w:p w14:paraId="679B7E1D" w14:textId="77777777" w:rsidR="007460F0" w:rsidRDefault="007460F0">
      <w:r>
        <w:continuationSeparator/>
      </w:r>
    </w:p>
  </w:footnote>
  <w:footnote w:type="continuationNotice" w:id="1">
    <w:p w14:paraId="28F89D79" w14:textId="77777777" w:rsidR="007460F0" w:rsidRDefault="007460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784293B"/>
    <w:multiLevelType w:val="hybridMultilevel"/>
    <w:tmpl w:val="28268C30"/>
    <w:lvl w:ilvl="0" w:tplc="041D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3"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7F67468"/>
    <w:multiLevelType w:val="hybridMultilevel"/>
    <w:tmpl w:val="39CEE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11"/>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27"/>
  </w:num>
  <w:num w:numId="4" w16cid:durableId="406996002">
    <w:abstractNumId w:val="10"/>
  </w:num>
  <w:num w:numId="5" w16cid:durableId="1724862490">
    <w:abstractNumId w:val="3"/>
  </w:num>
  <w:num w:numId="6" w16cid:durableId="491528651">
    <w:abstractNumId w:val="17"/>
  </w:num>
  <w:num w:numId="7" w16cid:durableId="1307474171">
    <w:abstractNumId w:val="5"/>
  </w:num>
  <w:num w:numId="8" w16cid:durableId="1223179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20"/>
  </w:num>
  <w:num w:numId="10" w16cid:durableId="1541283173">
    <w:abstractNumId w:val="21"/>
  </w:num>
  <w:num w:numId="11" w16cid:durableId="1769539668">
    <w:abstractNumId w:val="6"/>
  </w:num>
  <w:num w:numId="12" w16cid:durableId="1240015390">
    <w:abstractNumId w:val="15"/>
  </w:num>
  <w:num w:numId="13" w16cid:durableId="2062173213">
    <w:abstractNumId w:val="22"/>
  </w:num>
  <w:num w:numId="14" w16cid:durableId="1063482406">
    <w:abstractNumId w:val="11"/>
  </w:num>
  <w:num w:numId="15" w16cid:durableId="1395010757">
    <w:abstractNumId w:val="11"/>
  </w:num>
  <w:num w:numId="16" w16cid:durableId="1559589784">
    <w:abstractNumId w:val="19"/>
  </w:num>
  <w:num w:numId="17" w16cid:durableId="472216469">
    <w:abstractNumId w:val="12"/>
  </w:num>
  <w:num w:numId="18" w16cid:durableId="13824857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844099">
    <w:abstractNumId w:val="7"/>
  </w:num>
  <w:num w:numId="20" w16cid:durableId="1835098524">
    <w:abstractNumId w:val="16"/>
  </w:num>
  <w:num w:numId="21" w16cid:durableId="369306135">
    <w:abstractNumId w:val="7"/>
  </w:num>
  <w:num w:numId="22" w16cid:durableId="314529541">
    <w:abstractNumId w:val="11"/>
  </w:num>
  <w:num w:numId="23" w16cid:durableId="1247037580">
    <w:abstractNumId w:val="14"/>
  </w:num>
  <w:num w:numId="24" w16cid:durableId="255792422">
    <w:abstractNumId w:val="1"/>
  </w:num>
  <w:num w:numId="25" w16cid:durableId="1967464724">
    <w:abstractNumId w:val="26"/>
  </w:num>
  <w:num w:numId="26" w16cid:durableId="2073304431">
    <w:abstractNumId w:val="13"/>
  </w:num>
  <w:num w:numId="27" w16cid:durableId="421074645">
    <w:abstractNumId w:val="4"/>
  </w:num>
  <w:num w:numId="28" w16cid:durableId="1291741348">
    <w:abstractNumId w:val="11"/>
  </w:num>
  <w:num w:numId="29" w16cid:durableId="1202788779">
    <w:abstractNumId w:val="11"/>
  </w:num>
  <w:num w:numId="30" w16cid:durableId="2111971741">
    <w:abstractNumId w:val="24"/>
  </w:num>
  <w:num w:numId="31" w16cid:durableId="2020227701">
    <w:abstractNumId w:val="2"/>
  </w:num>
  <w:num w:numId="32" w16cid:durableId="59980661">
    <w:abstractNumId w:val="11"/>
  </w:num>
  <w:num w:numId="33" w16cid:durableId="997882460">
    <w:abstractNumId w:val="11"/>
  </w:num>
  <w:num w:numId="34" w16cid:durableId="1461923532">
    <w:abstractNumId w:val="18"/>
  </w:num>
  <w:num w:numId="35" w16cid:durableId="873346456">
    <w:abstractNumId w:val="11"/>
  </w:num>
  <w:num w:numId="36" w16cid:durableId="176427182">
    <w:abstractNumId w:val="8"/>
  </w:num>
  <w:num w:numId="37" w16cid:durableId="2066296469">
    <w:abstractNumId w:val="25"/>
  </w:num>
  <w:num w:numId="38" w16cid:durableId="1404373700">
    <w:abstractNumId w:val="9"/>
  </w:num>
  <w:num w:numId="39" w16cid:durableId="1099446267">
    <w:abstractNumId w:val="11"/>
  </w:num>
  <w:num w:numId="40" w16cid:durableId="135974273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asFAKob34otAAAA"/>
  </w:docVars>
  <w:rsids>
    <w:rsidRoot w:val="00586410"/>
    <w:rsid w:val="00000FA0"/>
    <w:rsid w:val="00001117"/>
    <w:rsid w:val="00001B9D"/>
    <w:rsid w:val="00001BBB"/>
    <w:rsid w:val="00001EAD"/>
    <w:rsid w:val="00002493"/>
    <w:rsid w:val="000027D7"/>
    <w:rsid w:val="0000281C"/>
    <w:rsid w:val="0000317A"/>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1F48"/>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6B08"/>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9A3"/>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30E"/>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4CA5"/>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3F"/>
    <w:rsid w:val="000C71BD"/>
    <w:rsid w:val="000C741D"/>
    <w:rsid w:val="000C752A"/>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3E31"/>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1E5C"/>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D10"/>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64"/>
    <w:rsid w:val="00132703"/>
    <w:rsid w:val="00132A8B"/>
    <w:rsid w:val="00133509"/>
    <w:rsid w:val="00133B47"/>
    <w:rsid w:val="00133B5A"/>
    <w:rsid w:val="00133E0D"/>
    <w:rsid w:val="00133FF2"/>
    <w:rsid w:val="001343BB"/>
    <w:rsid w:val="00134879"/>
    <w:rsid w:val="00134B00"/>
    <w:rsid w:val="00134D92"/>
    <w:rsid w:val="0013531B"/>
    <w:rsid w:val="001354CA"/>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9BC"/>
    <w:rsid w:val="00184A93"/>
    <w:rsid w:val="00184BB6"/>
    <w:rsid w:val="00184EAF"/>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639"/>
    <w:rsid w:val="00196BBA"/>
    <w:rsid w:val="001972B9"/>
    <w:rsid w:val="00197AE1"/>
    <w:rsid w:val="00197EA8"/>
    <w:rsid w:val="001A0237"/>
    <w:rsid w:val="001A11B2"/>
    <w:rsid w:val="001A18C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B4"/>
    <w:rsid w:val="001D72D9"/>
    <w:rsid w:val="001D733A"/>
    <w:rsid w:val="001D747D"/>
    <w:rsid w:val="001D7628"/>
    <w:rsid w:val="001D766A"/>
    <w:rsid w:val="001D7C08"/>
    <w:rsid w:val="001E034A"/>
    <w:rsid w:val="001E0521"/>
    <w:rsid w:val="001E0D0D"/>
    <w:rsid w:val="001E11C4"/>
    <w:rsid w:val="001E19AC"/>
    <w:rsid w:val="001E22D2"/>
    <w:rsid w:val="001E23CC"/>
    <w:rsid w:val="001E2C43"/>
    <w:rsid w:val="001E32E8"/>
    <w:rsid w:val="001E41C6"/>
    <w:rsid w:val="001E4A0E"/>
    <w:rsid w:val="001E4EC6"/>
    <w:rsid w:val="001E5171"/>
    <w:rsid w:val="001E56A2"/>
    <w:rsid w:val="001E62AB"/>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9B4"/>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1DFA"/>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B94"/>
    <w:rsid w:val="00263F9C"/>
    <w:rsid w:val="00263FE4"/>
    <w:rsid w:val="0026423C"/>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401A"/>
    <w:rsid w:val="002852B1"/>
    <w:rsid w:val="002854E6"/>
    <w:rsid w:val="00285A7D"/>
    <w:rsid w:val="00285AF1"/>
    <w:rsid w:val="00285B64"/>
    <w:rsid w:val="00285E39"/>
    <w:rsid w:val="002866E7"/>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E56"/>
    <w:rsid w:val="002C3317"/>
    <w:rsid w:val="002C341E"/>
    <w:rsid w:val="002C345A"/>
    <w:rsid w:val="002C3952"/>
    <w:rsid w:val="002C3B63"/>
    <w:rsid w:val="002C3E0F"/>
    <w:rsid w:val="002C454B"/>
    <w:rsid w:val="002C4B45"/>
    <w:rsid w:val="002C4E04"/>
    <w:rsid w:val="002C501E"/>
    <w:rsid w:val="002C54F3"/>
    <w:rsid w:val="002C594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1FA7"/>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673"/>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707A"/>
    <w:rsid w:val="002F709F"/>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058"/>
    <w:rsid w:val="003213D6"/>
    <w:rsid w:val="003214A2"/>
    <w:rsid w:val="00321C39"/>
    <w:rsid w:val="003223B2"/>
    <w:rsid w:val="00322DFB"/>
    <w:rsid w:val="00322EE6"/>
    <w:rsid w:val="00323046"/>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0"/>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966C5"/>
    <w:rsid w:val="003A02E5"/>
    <w:rsid w:val="003A0A05"/>
    <w:rsid w:val="003A1638"/>
    <w:rsid w:val="003A180B"/>
    <w:rsid w:val="003A1F47"/>
    <w:rsid w:val="003A2006"/>
    <w:rsid w:val="003A22D4"/>
    <w:rsid w:val="003A23B5"/>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93A"/>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562"/>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23"/>
    <w:rsid w:val="003D1F62"/>
    <w:rsid w:val="003D2537"/>
    <w:rsid w:val="003D2BB2"/>
    <w:rsid w:val="003D2E5A"/>
    <w:rsid w:val="003D387B"/>
    <w:rsid w:val="003D3923"/>
    <w:rsid w:val="003D49FC"/>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4A7"/>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4A6"/>
    <w:rsid w:val="004476C1"/>
    <w:rsid w:val="004476DF"/>
    <w:rsid w:val="00447982"/>
    <w:rsid w:val="00447EDA"/>
    <w:rsid w:val="00450504"/>
    <w:rsid w:val="0045090A"/>
    <w:rsid w:val="00451A6F"/>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6F8"/>
    <w:rsid w:val="00456B3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3DF2"/>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97BA3"/>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A7F97"/>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098"/>
    <w:rsid w:val="004D0516"/>
    <w:rsid w:val="004D05F0"/>
    <w:rsid w:val="004D06FD"/>
    <w:rsid w:val="004D087E"/>
    <w:rsid w:val="004D0DEB"/>
    <w:rsid w:val="004D139A"/>
    <w:rsid w:val="004D2103"/>
    <w:rsid w:val="004D211C"/>
    <w:rsid w:val="004D21A6"/>
    <w:rsid w:val="004D225A"/>
    <w:rsid w:val="004D244F"/>
    <w:rsid w:val="004D2850"/>
    <w:rsid w:val="004D2879"/>
    <w:rsid w:val="004D2914"/>
    <w:rsid w:val="004D2FA7"/>
    <w:rsid w:val="004D3002"/>
    <w:rsid w:val="004D3F05"/>
    <w:rsid w:val="004D4BB2"/>
    <w:rsid w:val="004D4ECD"/>
    <w:rsid w:val="004D4F5C"/>
    <w:rsid w:val="004D549F"/>
    <w:rsid w:val="004D54CC"/>
    <w:rsid w:val="004D5D0F"/>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5E7"/>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1B6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5BBD"/>
    <w:rsid w:val="0052664F"/>
    <w:rsid w:val="0052671F"/>
    <w:rsid w:val="00526963"/>
    <w:rsid w:val="00527A62"/>
    <w:rsid w:val="00527AAB"/>
    <w:rsid w:val="00527E4D"/>
    <w:rsid w:val="00530669"/>
    <w:rsid w:val="00530CBD"/>
    <w:rsid w:val="00530EE9"/>
    <w:rsid w:val="005311EB"/>
    <w:rsid w:val="0053153D"/>
    <w:rsid w:val="00531A24"/>
    <w:rsid w:val="0053292A"/>
    <w:rsid w:val="005333DB"/>
    <w:rsid w:val="00533488"/>
    <w:rsid w:val="00533529"/>
    <w:rsid w:val="00533D8B"/>
    <w:rsid w:val="00534210"/>
    <w:rsid w:val="005355B9"/>
    <w:rsid w:val="0053563A"/>
    <w:rsid w:val="00535B67"/>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1934"/>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41D"/>
    <w:rsid w:val="00554672"/>
    <w:rsid w:val="00554D51"/>
    <w:rsid w:val="00555100"/>
    <w:rsid w:val="0055546C"/>
    <w:rsid w:val="0055554C"/>
    <w:rsid w:val="0055593A"/>
    <w:rsid w:val="00555ACE"/>
    <w:rsid w:val="00555BA4"/>
    <w:rsid w:val="00556156"/>
    <w:rsid w:val="0055635C"/>
    <w:rsid w:val="00556985"/>
    <w:rsid w:val="005572EF"/>
    <w:rsid w:val="005575EB"/>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5C99"/>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AE"/>
    <w:rsid w:val="0059671D"/>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3DE"/>
    <w:rsid w:val="005D38A0"/>
    <w:rsid w:val="005D44D3"/>
    <w:rsid w:val="005D4548"/>
    <w:rsid w:val="005D46DF"/>
    <w:rsid w:val="005D49EF"/>
    <w:rsid w:val="005D4FD8"/>
    <w:rsid w:val="005D59DF"/>
    <w:rsid w:val="005D5F3F"/>
    <w:rsid w:val="005D700D"/>
    <w:rsid w:val="005D7716"/>
    <w:rsid w:val="005E0212"/>
    <w:rsid w:val="005E0BB4"/>
    <w:rsid w:val="005E1024"/>
    <w:rsid w:val="005E1152"/>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EF0"/>
    <w:rsid w:val="005E5F53"/>
    <w:rsid w:val="005E64BE"/>
    <w:rsid w:val="005E6BC5"/>
    <w:rsid w:val="005E6C4A"/>
    <w:rsid w:val="005E7119"/>
    <w:rsid w:val="005E73F6"/>
    <w:rsid w:val="005E75D0"/>
    <w:rsid w:val="005E770A"/>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9E3"/>
    <w:rsid w:val="00602F9E"/>
    <w:rsid w:val="00603305"/>
    <w:rsid w:val="006034A6"/>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172A"/>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B3B"/>
    <w:rsid w:val="00623CC7"/>
    <w:rsid w:val="00623F06"/>
    <w:rsid w:val="006242D2"/>
    <w:rsid w:val="00624B90"/>
    <w:rsid w:val="00624C24"/>
    <w:rsid w:val="00624C3B"/>
    <w:rsid w:val="00624CC9"/>
    <w:rsid w:val="00625596"/>
    <w:rsid w:val="00626029"/>
    <w:rsid w:val="00626192"/>
    <w:rsid w:val="00626197"/>
    <w:rsid w:val="00626475"/>
    <w:rsid w:val="006268DC"/>
    <w:rsid w:val="00626C00"/>
    <w:rsid w:val="00626D14"/>
    <w:rsid w:val="00627128"/>
    <w:rsid w:val="00627220"/>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435E"/>
    <w:rsid w:val="0063466A"/>
    <w:rsid w:val="00635399"/>
    <w:rsid w:val="00635ADE"/>
    <w:rsid w:val="006360F8"/>
    <w:rsid w:val="0063612E"/>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2D8"/>
    <w:rsid w:val="0066088D"/>
    <w:rsid w:val="00660E4D"/>
    <w:rsid w:val="006615C6"/>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257"/>
    <w:rsid w:val="006766CB"/>
    <w:rsid w:val="0067701A"/>
    <w:rsid w:val="0067756D"/>
    <w:rsid w:val="00677E7B"/>
    <w:rsid w:val="006800E7"/>
    <w:rsid w:val="00680220"/>
    <w:rsid w:val="0068089F"/>
    <w:rsid w:val="00680955"/>
    <w:rsid w:val="00680AED"/>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E9A"/>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C9A"/>
    <w:rsid w:val="006931E1"/>
    <w:rsid w:val="00693502"/>
    <w:rsid w:val="006935FB"/>
    <w:rsid w:val="0069413E"/>
    <w:rsid w:val="00694250"/>
    <w:rsid w:val="00694258"/>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2FF5"/>
    <w:rsid w:val="006B46C4"/>
    <w:rsid w:val="006B46DA"/>
    <w:rsid w:val="006B4C48"/>
    <w:rsid w:val="006B4D45"/>
    <w:rsid w:val="006B51E5"/>
    <w:rsid w:val="006B554B"/>
    <w:rsid w:val="006B5D77"/>
    <w:rsid w:val="006B62B9"/>
    <w:rsid w:val="006B6A15"/>
    <w:rsid w:val="006B72D0"/>
    <w:rsid w:val="006B77D1"/>
    <w:rsid w:val="006B7B7F"/>
    <w:rsid w:val="006B7BE4"/>
    <w:rsid w:val="006C03EF"/>
    <w:rsid w:val="006C0784"/>
    <w:rsid w:val="006C10A8"/>
    <w:rsid w:val="006C1419"/>
    <w:rsid w:val="006C2650"/>
    <w:rsid w:val="006C2EA7"/>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FB4"/>
    <w:rsid w:val="006D6425"/>
    <w:rsid w:val="006D648E"/>
    <w:rsid w:val="006D6C59"/>
    <w:rsid w:val="006D6DAA"/>
    <w:rsid w:val="006D7636"/>
    <w:rsid w:val="006D76E9"/>
    <w:rsid w:val="006D7912"/>
    <w:rsid w:val="006E00FD"/>
    <w:rsid w:val="006E0552"/>
    <w:rsid w:val="006E091E"/>
    <w:rsid w:val="006E12C1"/>
    <w:rsid w:val="006E16AC"/>
    <w:rsid w:val="006E225C"/>
    <w:rsid w:val="006E25A8"/>
    <w:rsid w:val="006E283A"/>
    <w:rsid w:val="006E291E"/>
    <w:rsid w:val="006E3491"/>
    <w:rsid w:val="006E3DA1"/>
    <w:rsid w:val="006E421A"/>
    <w:rsid w:val="006E441F"/>
    <w:rsid w:val="006E4AF9"/>
    <w:rsid w:val="006E557F"/>
    <w:rsid w:val="006E5E2C"/>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1AE"/>
    <w:rsid w:val="00717D7F"/>
    <w:rsid w:val="00717DD3"/>
    <w:rsid w:val="00717DD5"/>
    <w:rsid w:val="00717E6D"/>
    <w:rsid w:val="007203B2"/>
    <w:rsid w:val="00720416"/>
    <w:rsid w:val="00720A56"/>
    <w:rsid w:val="00720AB1"/>
    <w:rsid w:val="00720C19"/>
    <w:rsid w:val="00720CB0"/>
    <w:rsid w:val="00720DD7"/>
    <w:rsid w:val="00721844"/>
    <w:rsid w:val="00722266"/>
    <w:rsid w:val="00722721"/>
    <w:rsid w:val="007227C8"/>
    <w:rsid w:val="00722BAE"/>
    <w:rsid w:val="00723A18"/>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B4B"/>
    <w:rsid w:val="00731B63"/>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0F0"/>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87D"/>
    <w:rsid w:val="007559B1"/>
    <w:rsid w:val="00755D35"/>
    <w:rsid w:val="007566F6"/>
    <w:rsid w:val="00756A42"/>
    <w:rsid w:val="00756A5F"/>
    <w:rsid w:val="00756EC0"/>
    <w:rsid w:val="00756F63"/>
    <w:rsid w:val="00757661"/>
    <w:rsid w:val="0075778F"/>
    <w:rsid w:val="00757D3F"/>
    <w:rsid w:val="00757F2A"/>
    <w:rsid w:val="00760355"/>
    <w:rsid w:val="007603FC"/>
    <w:rsid w:val="0076055D"/>
    <w:rsid w:val="0076061D"/>
    <w:rsid w:val="00761059"/>
    <w:rsid w:val="00761E18"/>
    <w:rsid w:val="00762005"/>
    <w:rsid w:val="007625AA"/>
    <w:rsid w:val="00762DAB"/>
    <w:rsid w:val="007633A9"/>
    <w:rsid w:val="00763FE6"/>
    <w:rsid w:val="0076467B"/>
    <w:rsid w:val="0076478E"/>
    <w:rsid w:val="00764CAF"/>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415"/>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369"/>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90037"/>
    <w:rsid w:val="007905B0"/>
    <w:rsid w:val="0079085A"/>
    <w:rsid w:val="00790C01"/>
    <w:rsid w:val="00791353"/>
    <w:rsid w:val="0079138E"/>
    <w:rsid w:val="0079145B"/>
    <w:rsid w:val="00791549"/>
    <w:rsid w:val="007915FA"/>
    <w:rsid w:val="00791D44"/>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0AD1"/>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4A1"/>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9C1"/>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47FF"/>
    <w:rsid w:val="0083511D"/>
    <w:rsid w:val="0083517D"/>
    <w:rsid w:val="00835566"/>
    <w:rsid w:val="00835865"/>
    <w:rsid w:val="00835959"/>
    <w:rsid w:val="00835EA3"/>
    <w:rsid w:val="00835FCB"/>
    <w:rsid w:val="00836191"/>
    <w:rsid w:val="00836382"/>
    <w:rsid w:val="00836532"/>
    <w:rsid w:val="008367BA"/>
    <w:rsid w:val="008369FB"/>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D69"/>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6B52"/>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83E"/>
    <w:rsid w:val="008A3004"/>
    <w:rsid w:val="008A347A"/>
    <w:rsid w:val="008A35FC"/>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72E"/>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478A"/>
    <w:rsid w:val="008C5208"/>
    <w:rsid w:val="008C5249"/>
    <w:rsid w:val="008C55B8"/>
    <w:rsid w:val="008C5989"/>
    <w:rsid w:val="008C59C8"/>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D7928"/>
    <w:rsid w:val="008E0408"/>
    <w:rsid w:val="008E0A1A"/>
    <w:rsid w:val="008E0D1F"/>
    <w:rsid w:val="008E139E"/>
    <w:rsid w:val="008E173A"/>
    <w:rsid w:val="008E18E0"/>
    <w:rsid w:val="008E1E9B"/>
    <w:rsid w:val="008E27F5"/>
    <w:rsid w:val="008E2A03"/>
    <w:rsid w:val="008E2A73"/>
    <w:rsid w:val="008E2E28"/>
    <w:rsid w:val="008E2F6B"/>
    <w:rsid w:val="008E34BD"/>
    <w:rsid w:val="008E3F81"/>
    <w:rsid w:val="008E42E0"/>
    <w:rsid w:val="008E4367"/>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AAA"/>
    <w:rsid w:val="008F6BD2"/>
    <w:rsid w:val="008F6F22"/>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5FDD"/>
    <w:rsid w:val="00906138"/>
    <w:rsid w:val="00906296"/>
    <w:rsid w:val="009062D0"/>
    <w:rsid w:val="00906896"/>
    <w:rsid w:val="00906CE7"/>
    <w:rsid w:val="00906E25"/>
    <w:rsid w:val="0090703E"/>
    <w:rsid w:val="00907763"/>
    <w:rsid w:val="009105D2"/>
    <w:rsid w:val="00910AD8"/>
    <w:rsid w:val="00910BD4"/>
    <w:rsid w:val="00911A57"/>
    <w:rsid w:val="00912B20"/>
    <w:rsid w:val="00912BCC"/>
    <w:rsid w:val="00912F6B"/>
    <w:rsid w:val="00913C24"/>
    <w:rsid w:val="00913C8B"/>
    <w:rsid w:val="00914380"/>
    <w:rsid w:val="00914741"/>
    <w:rsid w:val="009147BD"/>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085"/>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3FA"/>
    <w:rsid w:val="00932828"/>
    <w:rsid w:val="00932ED8"/>
    <w:rsid w:val="00933290"/>
    <w:rsid w:val="0093360A"/>
    <w:rsid w:val="00933769"/>
    <w:rsid w:val="00933E52"/>
    <w:rsid w:val="00934294"/>
    <w:rsid w:val="00935BEA"/>
    <w:rsid w:val="00935E65"/>
    <w:rsid w:val="00935EEE"/>
    <w:rsid w:val="00936579"/>
    <w:rsid w:val="00936DC6"/>
    <w:rsid w:val="00936E0C"/>
    <w:rsid w:val="00937940"/>
    <w:rsid w:val="00937A35"/>
    <w:rsid w:val="00937D45"/>
    <w:rsid w:val="0094033E"/>
    <w:rsid w:val="009403E2"/>
    <w:rsid w:val="00940506"/>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9CB"/>
    <w:rsid w:val="00982D17"/>
    <w:rsid w:val="00983535"/>
    <w:rsid w:val="00983E21"/>
    <w:rsid w:val="00983E78"/>
    <w:rsid w:val="0098416E"/>
    <w:rsid w:val="00984595"/>
    <w:rsid w:val="009848CC"/>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1184"/>
    <w:rsid w:val="009A19CE"/>
    <w:rsid w:val="009A1BE6"/>
    <w:rsid w:val="009A1EB1"/>
    <w:rsid w:val="009A27B8"/>
    <w:rsid w:val="009A2ADA"/>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095"/>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2B17"/>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842"/>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8"/>
    <w:rsid w:val="009F13B2"/>
    <w:rsid w:val="009F167D"/>
    <w:rsid w:val="009F16EF"/>
    <w:rsid w:val="009F1DCF"/>
    <w:rsid w:val="009F215A"/>
    <w:rsid w:val="009F2487"/>
    <w:rsid w:val="009F2D98"/>
    <w:rsid w:val="009F2F68"/>
    <w:rsid w:val="009F306B"/>
    <w:rsid w:val="009F30EE"/>
    <w:rsid w:val="009F333B"/>
    <w:rsid w:val="009F35B1"/>
    <w:rsid w:val="009F3B49"/>
    <w:rsid w:val="009F3EDF"/>
    <w:rsid w:val="009F4CD5"/>
    <w:rsid w:val="009F4EC2"/>
    <w:rsid w:val="009F5028"/>
    <w:rsid w:val="009F51F2"/>
    <w:rsid w:val="009F5735"/>
    <w:rsid w:val="009F57A3"/>
    <w:rsid w:val="009F594B"/>
    <w:rsid w:val="009F5A49"/>
    <w:rsid w:val="009F5DD1"/>
    <w:rsid w:val="009F6582"/>
    <w:rsid w:val="009F6D4D"/>
    <w:rsid w:val="009F7379"/>
    <w:rsid w:val="00A000CE"/>
    <w:rsid w:val="00A004F6"/>
    <w:rsid w:val="00A00609"/>
    <w:rsid w:val="00A00B03"/>
    <w:rsid w:val="00A0175B"/>
    <w:rsid w:val="00A019CF"/>
    <w:rsid w:val="00A01F03"/>
    <w:rsid w:val="00A0200A"/>
    <w:rsid w:val="00A026F9"/>
    <w:rsid w:val="00A02BE8"/>
    <w:rsid w:val="00A03251"/>
    <w:rsid w:val="00A03AC4"/>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AD2"/>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FA9"/>
    <w:rsid w:val="00A2174E"/>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B6"/>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C1B"/>
    <w:rsid w:val="00A46DB5"/>
    <w:rsid w:val="00A46EDD"/>
    <w:rsid w:val="00A46F0B"/>
    <w:rsid w:val="00A47981"/>
    <w:rsid w:val="00A47A5C"/>
    <w:rsid w:val="00A47A8F"/>
    <w:rsid w:val="00A50003"/>
    <w:rsid w:val="00A5020C"/>
    <w:rsid w:val="00A5028D"/>
    <w:rsid w:val="00A502A9"/>
    <w:rsid w:val="00A5035C"/>
    <w:rsid w:val="00A50672"/>
    <w:rsid w:val="00A50AC5"/>
    <w:rsid w:val="00A50CD8"/>
    <w:rsid w:val="00A51130"/>
    <w:rsid w:val="00A51A16"/>
    <w:rsid w:val="00A51DBF"/>
    <w:rsid w:val="00A5285C"/>
    <w:rsid w:val="00A52922"/>
    <w:rsid w:val="00A52A11"/>
    <w:rsid w:val="00A52FA9"/>
    <w:rsid w:val="00A530F7"/>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88C"/>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AAC"/>
    <w:rsid w:val="00A97B45"/>
    <w:rsid w:val="00A97DA2"/>
    <w:rsid w:val="00AA093C"/>
    <w:rsid w:val="00AA101F"/>
    <w:rsid w:val="00AA14CF"/>
    <w:rsid w:val="00AA16BF"/>
    <w:rsid w:val="00AA17AE"/>
    <w:rsid w:val="00AA1A1D"/>
    <w:rsid w:val="00AA1D10"/>
    <w:rsid w:val="00AA20A8"/>
    <w:rsid w:val="00AA2481"/>
    <w:rsid w:val="00AA25D1"/>
    <w:rsid w:val="00AA2712"/>
    <w:rsid w:val="00AA28D9"/>
    <w:rsid w:val="00AA2A21"/>
    <w:rsid w:val="00AA2C32"/>
    <w:rsid w:val="00AA2FAD"/>
    <w:rsid w:val="00AA31CC"/>
    <w:rsid w:val="00AA36FE"/>
    <w:rsid w:val="00AA39AD"/>
    <w:rsid w:val="00AA43B7"/>
    <w:rsid w:val="00AA490B"/>
    <w:rsid w:val="00AA4A54"/>
    <w:rsid w:val="00AA4C84"/>
    <w:rsid w:val="00AA4CB7"/>
    <w:rsid w:val="00AA55A5"/>
    <w:rsid w:val="00AA573E"/>
    <w:rsid w:val="00AA6324"/>
    <w:rsid w:val="00AA6341"/>
    <w:rsid w:val="00AA642F"/>
    <w:rsid w:val="00AA6AB7"/>
    <w:rsid w:val="00AA6AF2"/>
    <w:rsid w:val="00AA7227"/>
    <w:rsid w:val="00AA7C6F"/>
    <w:rsid w:val="00AA7D7E"/>
    <w:rsid w:val="00AA7E51"/>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DF5"/>
    <w:rsid w:val="00AC60A1"/>
    <w:rsid w:val="00AC6ABE"/>
    <w:rsid w:val="00AC6DB0"/>
    <w:rsid w:val="00AC6EA9"/>
    <w:rsid w:val="00AC7016"/>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5E7"/>
    <w:rsid w:val="00AD5616"/>
    <w:rsid w:val="00AD6269"/>
    <w:rsid w:val="00AD6331"/>
    <w:rsid w:val="00AD7354"/>
    <w:rsid w:val="00AD7595"/>
    <w:rsid w:val="00AD76BA"/>
    <w:rsid w:val="00AE0382"/>
    <w:rsid w:val="00AE09B1"/>
    <w:rsid w:val="00AE0A4A"/>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43F2"/>
    <w:rsid w:val="00AF56A8"/>
    <w:rsid w:val="00AF6786"/>
    <w:rsid w:val="00AF67FC"/>
    <w:rsid w:val="00AF716D"/>
    <w:rsid w:val="00AF7323"/>
    <w:rsid w:val="00AF7382"/>
    <w:rsid w:val="00AF7447"/>
    <w:rsid w:val="00AF7A20"/>
    <w:rsid w:val="00B00031"/>
    <w:rsid w:val="00B0059F"/>
    <w:rsid w:val="00B00DE9"/>
    <w:rsid w:val="00B01673"/>
    <w:rsid w:val="00B01875"/>
    <w:rsid w:val="00B01CAF"/>
    <w:rsid w:val="00B020D2"/>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B6A"/>
    <w:rsid w:val="00B51E23"/>
    <w:rsid w:val="00B51F5D"/>
    <w:rsid w:val="00B5215B"/>
    <w:rsid w:val="00B52304"/>
    <w:rsid w:val="00B525A9"/>
    <w:rsid w:val="00B526CE"/>
    <w:rsid w:val="00B52735"/>
    <w:rsid w:val="00B52852"/>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E64"/>
    <w:rsid w:val="00B922B4"/>
    <w:rsid w:val="00B92B9F"/>
    <w:rsid w:val="00B92D51"/>
    <w:rsid w:val="00B9301A"/>
    <w:rsid w:val="00B93558"/>
    <w:rsid w:val="00B93A9C"/>
    <w:rsid w:val="00B94A1A"/>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8A0"/>
    <w:rsid w:val="00BA2E09"/>
    <w:rsid w:val="00BA3106"/>
    <w:rsid w:val="00BA3872"/>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C"/>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F9C"/>
    <w:rsid w:val="00BD0DDD"/>
    <w:rsid w:val="00BD1A2C"/>
    <w:rsid w:val="00BD1D8C"/>
    <w:rsid w:val="00BD20D5"/>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03"/>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A65"/>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39A"/>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F0B"/>
    <w:rsid w:val="00C372B1"/>
    <w:rsid w:val="00C372C5"/>
    <w:rsid w:val="00C37719"/>
    <w:rsid w:val="00C379D9"/>
    <w:rsid w:val="00C37A1B"/>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230"/>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673"/>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61"/>
    <w:rsid w:val="00CB505A"/>
    <w:rsid w:val="00CB5275"/>
    <w:rsid w:val="00CB52D7"/>
    <w:rsid w:val="00CB5D7C"/>
    <w:rsid w:val="00CB5F87"/>
    <w:rsid w:val="00CB5FB5"/>
    <w:rsid w:val="00CB6635"/>
    <w:rsid w:val="00CB6674"/>
    <w:rsid w:val="00CB685F"/>
    <w:rsid w:val="00CB6923"/>
    <w:rsid w:val="00CB751D"/>
    <w:rsid w:val="00CB7566"/>
    <w:rsid w:val="00CB776D"/>
    <w:rsid w:val="00CB79CF"/>
    <w:rsid w:val="00CB7B7D"/>
    <w:rsid w:val="00CB7F37"/>
    <w:rsid w:val="00CC005F"/>
    <w:rsid w:val="00CC00BD"/>
    <w:rsid w:val="00CC02B6"/>
    <w:rsid w:val="00CC08A2"/>
    <w:rsid w:val="00CC08D8"/>
    <w:rsid w:val="00CC0AC1"/>
    <w:rsid w:val="00CC0D68"/>
    <w:rsid w:val="00CC16A7"/>
    <w:rsid w:val="00CC1A35"/>
    <w:rsid w:val="00CC2049"/>
    <w:rsid w:val="00CC2092"/>
    <w:rsid w:val="00CC2134"/>
    <w:rsid w:val="00CC253A"/>
    <w:rsid w:val="00CC2EBC"/>
    <w:rsid w:val="00CC3460"/>
    <w:rsid w:val="00CC3522"/>
    <w:rsid w:val="00CC39BC"/>
    <w:rsid w:val="00CC3B42"/>
    <w:rsid w:val="00CC3D59"/>
    <w:rsid w:val="00CC3D98"/>
    <w:rsid w:val="00CC42BC"/>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D56"/>
    <w:rsid w:val="00CE1EB6"/>
    <w:rsid w:val="00CE2196"/>
    <w:rsid w:val="00CE25BF"/>
    <w:rsid w:val="00CE272F"/>
    <w:rsid w:val="00CE2E10"/>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16E"/>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CFE"/>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2A56"/>
    <w:rsid w:val="00D332FD"/>
    <w:rsid w:val="00D333DA"/>
    <w:rsid w:val="00D33630"/>
    <w:rsid w:val="00D339E6"/>
    <w:rsid w:val="00D34288"/>
    <w:rsid w:val="00D34330"/>
    <w:rsid w:val="00D3461D"/>
    <w:rsid w:val="00D34AAD"/>
    <w:rsid w:val="00D34DFE"/>
    <w:rsid w:val="00D350CF"/>
    <w:rsid w:val="00D3568B"/>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57E3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320"/>
    <w:rsid w:val="00D676C8"/>
    <w:rsid w:val="00D703F7"/>
    <w:rsid w:val="00D70A36"/>
    <w:rsid w:val="00D716C8"/>
    <w:rsid w:val="00D71709"/>
    <w:rsid w:val="00D71BF5"/>
    <w:rsid w:val="00D71DFB"/>
    <w:rsid w:val="00D71EBF"/>
    <w:rsid w:val="00D72602"/>
    <w:rsid w:val="00D73B83"/>
    <w:rsid w:val="00D73BFE"/>
    <w:rsid w:val="00D73D1E"/>
    <w:rsid w:val="00D73FDF"/>
    <w:rsid w:val="00D74854"/>
    <w:rsid w:val="00D74E11"/>
    <w:rsid w:val="00D7523F"/>
    <w:rsid w:val="00D75750"/>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F8A"/>
    <w:rsid w:val="00DA112D"/>
    <w:rsid w:val="00DA1404"/>
    <w:rsid w:val="00DA1E12"/>
    <w:rsid w:val="00DA26DC"/>
    <w:rsid w:val="00DA3209"/>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0231"/>
    <w:rsid w:val="00DC109F"/>
    <w:rsid w:val="00DC1C3B"/>
    <w:rsid w:val="00DC1E22"/>
    <w:rsid w:val="00DC23D4"/>
    <w:rsid w:val="00DC24E7"/>
    <w:rsid w:val="00DC28D0"/>
    <w:rsid w:val="00DC2A4C"/>
    <w:rsid w:val="00DC35F0"/>
    <w:rsid w:val="00DC367B"/>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32B"/>
    <w:rsid w:val="00DD2F24"/>
    <w:rsid w:val="00DD3C64"/>
    <w:rsid w:val="00DD3FB6"/>
    <w:rsid w:val="00DD431F"/>
    <w:rsid w:val="00DD47F9"/>
    <w:rsid w:val="00DD4BBE"/>
    <w:rsid w:val="00DD4BE2"/>
    <w:rsid w:val="00DD52E6"/>
    <w:rsid w:val="00DD6473"/>
    <w:rsid w:val="00DD68E4"/>
    <w:rsid w:val="00DD69E5"/>
    <w:rsid w:val="00DD6CAB"/>
    <w:rsid w:val="00DD700B"/>
    <w:rsid w:val="00DD7609"/>
    <w:rsid w:val="00DD7692"/>
    <w:rsid w:val="00DD7860"/>
    <w:rsid w:val="00DD7929"/>
    <w:rsid w:val="00DD7A65"/>
    <w:rsid w:val="00DD7A96"/>
    <w:rsid w:val="00DD7BAD"/>
    <w:rsid w:val="00DD7D27"/>
    <w:rsid w:val="00DE0408"/>
    <w:rsid w:val="00DE09C0"/>
    <w:rsid w:val="00DE0C3C"/>
    <w:rsid w:val="00DE0D00"/>
    <w:rsid w:val="00DE0DDF"/>
    <w:rsid w:val="00DE1453"/>
    <w:rsid w:val="00DE165F"/>
    <w:rsid w:val="00DE1AD2"/>
    <w:rsid w:val="00DE1B8E"/>
    <w:rsid w:val="00DE1B99"/>
    <w:rsid w:val="00DE1CD6"/>
    <w:rsid w:val="00DE2106"/>
    <w:rsid w:val="00DE2237"/>
    <w:rsid w:val="00DE24BF"/>
    <w:rsid w:val="00DE26D5"/>
    <w:rsid w:val="00DE280D"/>
    <w:rsid w:val="00DE2870"/>
    <w:rsid w:val="00DE28BF"/>
    <w:rsid w:val="00DE2C01"/>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634"/>
    <w:rsid w:val="00DF0977"/>
    <w:rsid w:val="00DF0BFB"/>
    <w:rsid w:val="00DF1F60"/>
    <w:rsid w:val="00DF3112"/>
    <w:rsid w:val="00DF3A92"/>
    <w:rsid w:val="00DF5232"/>
    <w:rsid w:val="00DF533B"/>
    <w:rsid w:val="00DF536A"/>
    <w:rsid w:val="00DF5C30"/>
    <w:rsid w:val="00DF5C80"/>
    <w:rsid w:val="00DF5C85"/>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553"/>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391"/>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90D"/>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48A"/>
    <w:rsid w:val="00ED7C39"/>
    <w:rsid w:val="00EE028F"/>
    <w:rsid w:val="00EE0941"/>
    <w:rsid w:val="00EE0DC1"/>
    <w:rsid w:val="00EE0FC9"/>
    <w:rsid w:val="00EE1337"/>
    <w:rsid w:val="00EE1A36"/>
    <w:rsid w:val="00EE1ECD"/>
    <w:rsid w:val="00EE20C6"/>
    <w:rsid w:val="00EE2766"/>
    <w:rsid w:val="00EE2BB8"/>
    <w:rsid w:val="00EE2ED3"/>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F0861"/>
    <w:rsid w:val="00EF0A47"/>
    <w:rsid w:val="00EF0C6D"/>
    <w:rsid w:val="00EF0D44"/>
    <w:rsid w:val="00EF1020"/>
    <w:rsid w:val="00EF1072"/>
    <w:rsid w:val="00EF151B"/>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8F"/>
    <w:rsid w:val="00F25575"/>
    <w:rsid w:val="00F25E9A"/>
    <w:rsid w:val="00F26758"/>
    <w:rsid w:val="00F26EA2"/>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50649"/>
    <w:rsid w:val="00F50C4C"/>
    <w:rsid w:val="00F50C8E"/>
    <w:rsid w:val="00F50ED0"/>
    <w:rsid w:val="00F51446"/>
    <w:rsid w:val="00F51582"/>
    <w:rsid w:val="00F521A1"/>
    <w:rsid w:val="00F52518"/>
    <w:rsid w:val="00F52D05"/>
    <w:rsid w:val="00F5325F"/>
    <w:rsid w:val="00F535AF"/>
    <w:rsid w:val="00F53E54"/>
    <w:rsid w:val="00F54072"/>
    <w:rsid w:val="00F54378"/>
    <w:rsid w:val="00F547A7"/>
    <w:rsid w:val="00F548E3"/>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413"/>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DBF"/>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3B27"/>
    <w:rsid w:val="00FE4256"/>
    <w:rsid w:val="00FE485E"/>
    <w:rsid w:val="00FE4C25"/>
    <w:rsid w:val="00FE4F87"/>
    <w:rsid w:val="00FE5258"/>
    <w:rsid w:val="00FE52E6"/>
    <w:rsid w:val="00FE536E"/>
    <w:rsid w:val="00FE60F0"/>
    <w:rsid w:val="00FE61EE"/>
    <w:rsid w:val="00FE6583"/>
    <w:rsid w:val="00FE67FB"/>
    <w:rsid w:val="00FE69CB"/>
    <w:rsid w:val="00FE6E53"/>
    <w:rsid w:val="00FF04B6"/>
    <w:rsid w:val="00FF1FBA"/>
    <w:rsid w:val="00FF270B"/>
    <w:rsid w:val="00FF3005"/>
    <w:rsid w:val="00FF3165"/>
    <w:rsid w:val="00FF3489"/>
    <w:rsid w:val="00FF3528"/>
    <w:rsid w:val="00FF371D"/>
    <w:rsid w:val="00FF3768"/>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59669894">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08373232">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474734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1103</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Awad, Yassin</dc:creator>
  <cp:keywords/>
  <dc:description/>
  <cp:lastModifiedBy>Zander, Olof</cp:lastModifiedBy>
  <cp:revision>6</cp:revision>
  <cp:lastPrinted>2010-11-10T21:00:00Z</cp:lastPrinted>
  <dcterms:created xsi:type="dcterms:W3CDTF">2023-08-10T14:13:00Z</dcterms:created>
  <dcterms:modified xsi:type="dcterms:W3CDTF">2023-08-11T14:43:00Z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